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</w:rPr>
        <w:t>附件2: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项目需求</w:t>
      </w:r>
    </w:p>
    <w:tbl>
      <w:tblPr>
        <w:tblStyle w:val="10"/>
        <w:tblW w:w="92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933"/>
        <w:gridCol w:w="615"/>
        <w:gridCol w:w="6752"/>
        <w:gridCol w:w="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1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6752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采购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项目需求</w:t>
            </w:r>
          </w:p>
        </w:tc>
        <w:tc>
          <w:tcPr>
            <w:tcW w:w="464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等离子前列腺电切镜</w:t>
            </w:r>
          </w:p>
        </w:tc>
        <w:tc>
          <w:tcPr>
            <w:tcW w:w="61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6752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需与佳乐电切镜主机(品牌GYRUS、型号SUPERPULSE)匹配使用。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技术参数：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双极电切内窥镜：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▲电切镜：视向角：30°,带有方向标，蓝宝石镜头，φ4mm, 长度302mm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2.▲电切镜：视场中心角分辨力3.267C/(°)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3.▲电切镜有效景深范围：4~60mm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4.▲电切镜有效光度率1700cd/(m²·lm)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5.操作器：被动式结构设计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6.内鞘：直径≥8.2mm,头端装配耐高温高强度陶瓷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7.外鞘套：直径≤8.8mm,带进、出水通道和控制开关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可实现持续灌流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8.操作器、内鞘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外鞘套之间为快速卡锁式装接设计，便于操作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9.电切镜及其附件防浸液等级达到IPX7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10.配备多种光缆接头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可与 STORZ、OLYMPUS、WOLF、ACMI及常见品牌光缆连接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11.可配套单管阀座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运用内鞘形成单一灌流通道，应对临床应用中的特殊需求</w:t>
            </w:r>
            <w:r>
              <w:rPr>
                <w:rFonts w:hint="eastAsia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；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2"/>
                <w:lang w:val="en-US" w:eastAsia="zh-CN" w:bidi="ar-SA"/>
              </w:rPr>
              <w:t>配套原厂消毒盒，所有部件均能稳定放置。</w:t>
            </w:r>
          </w:p>
          <w:p>
            <w:pPr>
              <w:pStyle w:val="8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Chars="0" w:right="0" w:rightChars="0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  <w:t>配置清单</w:t>
            </w:r>
          </w:p>
          <w:tbl>
            <w:tblPr>
              <w:tblStyle w:val="21"/>
              <w:tblW w:w="5000" w:type="pct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shd w:val="clear" w:color="auto" w:fill="auto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66"/>
              <w:gridCol w:w="1642"/>
              <w:gridCol w:w="3130"/>
              <w:gridCol w:w="615"/>
              <w:gridCol w:w="673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59" w:hRule="atLeast"/>
                <w:jc w:val="center"/>
              </w:trPr>
              <w:tc>
                <w:tcPr>
                  <w:tcW w:w="357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25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产品名称</w:t>
                  </w:r>
                </w:p>
              </w:tc>
              <w:tc>
                <w:tcPr>
                  <w:tcW w:w="239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规格描述</w:t>
                  </w:r>
                </w:p>
              </w:tc>
              <w:tc>
                <w:tcPr>
                  <w:tcW w:w="471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单位</w:t>
                  </w:r>
                </w:p>
              </w:tc>
              <w:tc>
                <w:tcPr>
                  <w:tcW w:w="515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5000" w:type="pct"/>
                  <w:gridSpan w:val="5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spacing w:beforeLines="0" w:afterLines="0"/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  <w:szCs w:val="24"/>
                      <w:lang w:val="en-US" w:eastAsia="zh-CN"/>
                    </w:rPr>
                    <w:t>等离子前列腺电切镜</w:t>
                  </w:r>
                  <w:bookmarkStart w:id="0" w:name="_GoBack"/>
                  <w:bookmarkEnd w:id="0"/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  <w:szCs w:val="24"/>
                      <w:lang w:val="en-US" w:eastAsia="zh-CN"/>
                    </w:rPr>
                    <w:t>及附件：26Fr标准电切镜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125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硬性光学内窥镜</w:t>
                  </w:r>
                </w:p>
              </w:tc>
              <w:tc>
                <w:tcPr>
                  <w:tcW w:w="239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φ4mm,30°视向角</w:t>
                  </w:r>
                </w:p>
              </w:tc>
              <w:tc>
                <w:tcPr>
                  <w:tcW w:w="471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支</w:t>
                  </w:r>
                </w:p>
              </w:tc>
              <w:tc>
                <w:tcPr>
                  <w:tcW w:w="515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操作器</w:t>
                  </w:r>
                </w:p>
              </w:tc>
              <w:tc>
                <w:tcPr>
                  <w:tcW w:w="239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等离子</w:t>
                  </w:r>
                  <w:r>
                    <w:rPr>
                      <w:rStyle w:val="23"/>
                      <w:rFonts w:hint="eastAsia"/>
                      <w:sz w:val="24"/>
                      <w:szCs w:val="24"/>
                      <w:lang w:val="en-US" w:eastAsia="zh-CN" w:bidi="ar"/>
                    </w:rPr>
                    <w:t>，</w:t>
                  </w: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被动式操作器</w:t>
                  </w:r>
                </w:p>
              </w:tc>
              <w:tc>
                <w:tcPr>
                  <w:tcW w:w="471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支</w:t>
                  </w:r>
                </w:p>
              </w:tc>
              <w:tc>
                <w:tcPr>
                  <w:tcW w:w="515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25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内鞘套</w:t>
                  </w:r>
                </w:p>
              </w:tc>
              <w:tc>
                <w:tcPr>
                  <w:tcW w:w="239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φ8.25mm(24.75Fr),带高强度陶瓷头</w:t>
                  </w:r>
                </w:p>
              </w:tc>
              <w:tc>
                <w:tcPr>
                  <w:tcW w:w="471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支</w:t>
                  </w:r>
                </w:p>
              </w:tc>
              <w:tc>
                <w:tcPr>
                  <w:tcW w:w="515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外鞘套</w:t>
                  </w:r>
                </w:p>
              </w:tc>
              <w:tc>
                <w:tcPr>
                  <w:tcW w:w="239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φ8.8mm(26.5Fr),带连续灌流通道</w:t>
                  </w:r>
                </w:p>
              </w:tc>
              <w:tc>
                <w:tcPr>
                  <w:tcW w:w="471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支</w:t>
                  </w:r>
                </w:p>
              </w:tc>
              <w:tc>
                <w:tcPr>
                  <w:tcW w:w="515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25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闭孔器</w:t>
                  </w:r>
                </w:p>
              </w:tc>
              <w:tc>
                <w:tcPr>
                  <w:tcW w:w="239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匹配内鞘</w:t>
                  </w:r>
                </w:p>
              </w:tc>
              <w:tc>
                <w:tcPr>
                  <w:tcW w:w="471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支</w:t>
                  </w:r>
                </w:p>
              </w:tc>
              <w:tc>
                <w:tcPr>
                  <w:tcW w:w="515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冲洗接头</w:t>
                  </w:r>
                </w:p>
              </w:tc>
              <w:tc>
                <w:tcPr>
                  <w:tcW w:w="239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匹配内鞘</w:t>
                  </w:r>
                </w:p>
              </w:tc>
              <w:tc>
                <w:tcPr>
                  <w:tcW w:w="471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515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125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霍夫曼冲洗器</w:t>
                  </w:r>
                </w:p>
              </w:tc>
              <w:tc>
                <w:tcPr>
                  <w:tcW w:w="2398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1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套</w:t>
                  </w:r>
                </w:p>
              </w:tc>
              <w:tc>
                <w:tcPr>
                  <w:tcW w:w="515" w:type="pct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电切镜消毒盒</w:t>
                  </w:r>
                </w:p>
              </w:tc>
              <w:tc>
                <w:tcPr>
                  <w:tcW w:w="2398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471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515" w:type="pc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357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25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Style w:val="23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Style w:val="23"/>
                      <w:rFonts w:hint="eastAsia"/>
                      <w:sz w:val="24"/>
                      <w:szCs w:val="24"/>
                      <w:lang w:val="en-US" w:eastAsia="zh-CN" w:bidi="ar"/>
                    </w:rPr>
                    <w:t>单管阀座</w:t>
                  </w:r>
                </w:p>
              </w:tc>
              <w:tc>
                <w:tcPr>
                  <w:tcW w:w="2398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top"/>
                </w:tcPr>
                <w:p>
                  <w:pPr>
                    <w:jc w:val="left"/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匹配内鞘，组成可单独使用内鞘进入人体，进行单向灌流。</w:t>
                  </w:r>
                </w:p>
              </w:tc>
              <w:tc>
                <w:tcPr>
                  <w:tcW w:w="471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Style w:val="23"/>
                      <w:rFonts w:hint="default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Style w:val="23"/>
                      <w:rFonts w:hint="eastAsia"/>
                      <w:sz w:val="24"/>
                      <w:szCs w:val="24"/>
                      <w:lang w:val="en-US" w:eastAsia="zh-CN" w:bidi="ar"/>
                    </w:rPr>
                    <w:t>个</w:t>
                  </w:r>
                </w:p>
              </w:tc>
              <w:tc>
                <w:tcPr>
                  <w:tcW w:w="515" w:type="pc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</w:tr>
          </w:tbl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464" w:type="dxa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color w:val="auto"/>
              </w:rPr>
            </w:pPr>
          </w:p>
        </w:tc>
      </w:tr>
    </w:tbl>
    <w:p>
      <w:pPr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ind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。</w:t>
      </w:r>
    </w:p>
    <w:p>
      <w:pPr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三、履约保证金</w:t>
      </w:r>
    </w:p>
    <w:p>
      <w:pPr>
        <w:spacing w:line="360" w:lineRule="auto"/>
        <w:ind w:firstLine="720" w:firstLineChars="3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/>
          <w:color w:val="auto"/>
          <w:sz w:val="24"/>
          <w:szCs w:val="24"/>
          <w:lang w:val="en-US" w:eastAsia="zh-CN"/>
        </w:rPr>
        <w:t>履约保证金按合同总价款的5%收取。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</w:t>
      </w:r>
      <w:r>
        <w:rPr>
          <w:rFonts w:hint="eastAsia"/>
          <w:color w:val="auto"/>
          <w:sz w:val="24"/>
          <w:szCs w:val="24"/>
          <w:lang w:val="en-US" w:eastAsia="zh-CN"/>
        </w:rPr>
        <w:t>中标通知书发出之日起7个工作日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递交履约保证金，可根据实际自主选择以转账、支票、汇票、本票、保函等非现金形式缴纳或提交履约保证金，但采用保函形式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必须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是无条件保函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否则，视中标人放弃成交资格。</w:t>
      </w:r>
    </w:p>
    <w:p>
      <w:pPr>
        <w:pStyle w:val="5"/>
        <w:adjustRightInd w:val="0"/>
        <w:snapToGrid w:val="0"/>
        <w:spacing w:line="360" w:lineRule="auto"/>
        <w:ind w:right="32" w:firstLine="720" w:firstLineChars="300"/>
        <w:rPr>
          <w:rFonts w:hint="default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2、履约保证金退还：合同履行期间无违约，在合同约定的质量保修售后服务得到切实履行的情况下，根据中标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的书面申请，采购人将在一个月内无息退还履约保证金。若中标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在合同履行期间违约，甲方有权从履约保证金中扣除违约金，履约保证金不足以扣除的部分，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可向中标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进一步索赔。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D84CB"/>
    <w:multiLevelType w:val="singleLevel"/>
    <w:tmpl w:val="CFFD84CB"/>
    <w:lvl w:ilvl="0" w:tentative="0">
      <w:start w:val="12"/>
      <w:numFmt w:val="decimal"/>
      <w:suff w:val="space"/>
      <w:lvlText w:val="%1."/>
      <w:lvlJc w:val="left"/>
    </w:lvl>
  </w:abstractNum>
  <w:abstractNum w:abstractNumId="1">
    <w:nsid w:val="E09C3550"/>
    <w:multiLevelType w:val="singleLevel"/>
    <w:tmpl w:val="E09C35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g4NGQxNzM0MmFlYTkwZDY1Y2MxNDA5NGY0ZDgzMTAifQ=="/>
    <w:docVar w:name="KSO_WPS_MARK_KEY" w:val="c3df048a-5e37-4e6e-830c-64eb7abc97b1"/>
  </w:docVars>
  <w:rsids>
    <w:rsidRoot w:val="00172A27"/>
    <w:rsid w:val="00010B04"/>
    <w:rsid w:val="00045B04"/>
    <w:rsid w:val="00066E9D"/>
    <w:rsid w:val="00073204"/>
    <w:rsid w:val="000D4036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0B8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1009B5"/>
    <w:rsid w:val="02421D02"/>
    <w:rsid w:val="032941DF"/>
    <w:rsid w:val="032F2286"/>
    <w:rsid w:val="03422F02"/>
    <w:rsid w:val="03B62BC7"/>
    <w:rsid w:val="03CE7EF4"/>
    <w:rsid w:val="0414147C"/>
    <w:rsid w:val="04365896"/>
    <w:rsid w:val="051E38D2"/>
    <w:rsid w:val="054636E1"/>
    <w:rsid w:val="05922FA0"/>
    <w:rsid w:val="06C2237B"/>
    <w:rsid w:val="07893296"/>
    <w:rsid w:val="087C1DEE"/>
    <w:rsid w:val="08935B24"/>
    <w:rsid w:val="09136E47"/>
    <w:rsid w:val="0A055B67"/>
    <w:rsid w:val="0B6829E6"/>
    <w:rsid w:val="0BCD5532"/>
    <w:rsid w:val="0C244DBD"/>
    <w:rsid w:val="0CDE1448"/>
    <w:rsid w:val="0D203342"/>
    <w:rsid w:val="0E012A71"/>
    <w:rsid w:val="0F4A1484"/>
    <w:rsid w:val="100C3B50"/>
    <w:rsid w:val="10F44B0F"/>
    <w:rsid w:val="110F7B9B"/>
    <w:rsid w:val="11B36ADD"/>
    <w:rsid w:val="12223BF8"/>
    <w:rsid w:val="12774008"/>
    <w:rsid w:val="139D416A"/>
    <w:rsid w:val="157A40EC"/>
    <w:rsid w:val="157B7BED"/>
    <w:rsid w:val="164755A2"/>
    <w:rsid w:val="16764AF5"/>
    <w:rsid w:val="168370B1"/>
    <w:rsid w:val="17AB2D6F"/>
    <w:rsid w:val="18104373"/>
    <w:rsid w:val="18E22929"/>
    <w:rsid w:val="19772F64"/>
    <w:rsid w:val="1A57286A"/>
    <w:rsid w:val="1A5800EB"/>
    <w:rsid w:val="1B2B6AD7"/>
    <w:rsid w:val="1B966478"/>
    <w:rsid w:val="1CA70C88"/>
    <w:rsid w:val="1CD472D3"/>
    <w:rsid w:val="1CE11C97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33C6462"/>
    <w:rsid w:val="236B5426"/>
    <w:rsid w:val="240115C5"/>
    <w:rsid w:val="24CC6B60"/>
    <w:rsid w:val="25390F4E"/>
    <w:rsid w:val="25A16CEC"/>
    <w:rsid w:val="27BB7CDD"/>
    <w:rsid w:val="27C272BD"/>
    <w:rsid w:val="27FF535B"/>
    <w:rsid w:val="281641CC"/>
    <w:rsid w:val="293A1836"/>
    <w:rsid w:val="29C8272A"/>
    <w:rsid w:val="29DB4666"/>
    <w:rsid w:val="29F70D49"/>
    <w:rsid w:val="2A5A5C48"/>
    <w:rsid w:val="2AA07538"/>
    <w:rsid w:val="2AAB4039"/>
    <w:rsid w:val="2C8E45E3"/>
    <w:rsid w:val="2E214EA0"/>
    <w:rsid w:val="2F33230D"/>
    <w:rsid w:val="307F3C12"/>
    <w:rsid w:val="309D7B31"/>
    <w:rsid w:val="3104732E"/>
    <w:rsid w:val="32780CA4"/>
    <w:rsid w:val="327E02FD"/>
    <w:rsid w:val="32AF6A90"/>
    <w:rsid w:val="333F36FE"/>
    <w:rsid w:val="33F27AF0"/>
    <w:rsid w:val="3414180A"/>
    <w:rsid w:val="35725E7F"/>
    <w:rsid w:val="35BB0FA6"/>
    <w:rsid w:val="36795B9F"/>
    <w:rsid w:val="37DC6865"/>
    <w:rsid w:val="390E4110"/>
    <w:rsid w:val="3AB739EE"/>
    <w:rsid w:val="3AF92B9E"/>
    <w:rsid w:val="3B1D67B9"/>
    <w:rsid w:val="3B40294F"/>
    <w:rsid w:val="3B7344AF"/>
    <w:rsid w:val="3D3E0D3C"/>
    <w:rsid w:val="3E9E371C"/>
    <w:rsid w:val="3EC41860"/>
    <w:rsid w:val="3F460E70"/>
    <w:rsid w:val="405835EA"/>
    <w:rsid w:val="40FE3FFA"/>
    <w:rsid w:val="41C53CDE"/>
    <w:rsid w:val="441D3686"/>
    <w:rsid w:val="44B17728"/>
    <w:rsid w:val="45413A9A"/>
    <w:rsid w:val="4546097D"/>
    <w:rsid w:val="45522C53"/>
    <w:rsid w:val="479F77AB"/>
    <w:rsid w:val="482F7405"/>
    <w:rsid w:val="496E6505"/>
    <w:rsid w:val="49FB675E"/>
    <w:rsid w:val="4A3D4856"/>
    <w:rsid w:val="4A5E098D"/>
    <w:rsid w:val="4AD620F1"/>
    <w:rsid w:val="4B480B26"/>
    <w:rsid w:val="4BBA1374"/>
    <w:rsid w:val="4BD72A88"/>
    <w:rsid w:val="4C8050FA"/>
    <w:rsid w:val="4D0B7472"/>
    <w:rsid w:val="4D896062"/>
    <w:rsid w:val="4DA50621"/>
    <w:rsid w:val="4E217FEA"/>
    <w:rsid w:val="4E4E7D7F"/>
    <w:rsid w:val="4E7A72C9"/>
    <w:rsid w:val="4F167EC6"/>
    <w:rsid w:val="4F726C6A"/>
    <w:rsid w:val="4F9C74A5"/>
    <w:rsid w:val="4FD9609F"/>
    <w:rsid w:val="50762E6E"/>
    <w:rsid w:val="51B25554"/>
    <w:rsid w:val="52E52BBF"/>
    <w:rsid w:val="53363C2D"/>
    <w:rsid w:val="54267555"/>
    <w:rsid w:val="54716DD9"/>
    <w:rsid w:val="55A41C2D"/>
    <w:rsid w:val="56201A71"/>
    <w:rsid w:val="57356E20"/>
    <w:rsid w:val="57A05711"/>
    <w:rsid w:val="57A265B8"/>
    <w:rsid w:val="57C3050C"/>
    <w:rsid w:val="58066594"/>
    <w:rsid w:val="586D5858"/>
    <w:rsid w:val="586E0828"/>
    <w:rsid w:val="596E419A"/>
    <w:rsid w:val="59F371CE"/>
    <w:rsid w:val="59FD5DAF"/>
    <w:rsid w:val="5A7964EF"/>
    <w:rsid w:val="5AA20705"/>
    <w:rsid w:val="5AA33540"/>
    <w:rsid w:val="5AE638F6"/>
    <w:rsid w:val="5CB31E1C"/>
    <w:rsid w:val="5D47748B"/>
    <w:rsid w:val="5E8F4186"/>
    <w:rsid w:val="5E9E6312"/>
    <w:rsid w:val="5EA40093"/>
    <w:rsid w:val="5FCC780B"/>
    <w:rsid w:val="603272BC"/>
    <w:rsid w:val="605067B2"/>
    <w:rsid w:val="607E1EDA"/>
    <w:rsid w:val="60901CA1"/>
    <w:rsid w:val="61886309"/>
    <w:rsid w:val="61D218D0"/>
    <w:rsid w:val="64732F97"/>
    <w:rsid w:val="647C4E11"/>
    <w:rsid w:val="64BA0429"/>
    <w:rsid w:val="64D04123"/>
    <w:rsid w:val="64FF2EC2"/>
    <w:rsid w:val="654B3CE9"/>
    <w:rsid w:val="659F0BE2"/>
    <w:rsid w:val="65A10980"/>
    <w:rsid w:val="65B45A46"/>
    <w:rsid w:val="66BA65B8"/>
    <w:rsid w:val="67DB108D"/>
    <w:rsid w:val="685C35CC"/>
    <w:rsid w:val="69132AF7"/>
    <w:rsid w:val="69826E46"/>
    <w:rsid w:val="6A5358F6"/>
    <w:rsid w:val="6B7E466C"/>
    <w:rsid w:val="6BF95CAB"/>
    <w:rsid w:val="6D836174"/>
    <w:rsid w:val="6ED02AEA"/>
    <w:rsid w:val="6F093F76"/>
    <w:rsid w:val="6F213E96"/>
    <w:rsid w:val="700F362E"/>
    <w:rsid w:val="708042B4"/>
    <w:rsid w:val="70924B9B"/>
    <w:rsid w:val="70CD6CD3"/>
    <w:rsid w:val="71C2178A"/>
    <w:rsid w:val="72631751"/>
    <w:rsid w:val="726366EC"/>
    <w:rsid w:val="745702F9"/>
    <w:rsid w:val="74AD2B7B"/>
    <w:rsid w:val="754A1CB2"/>
    <w:rsid w:val="755374DD"/>
    <w:rsid w:val="75F7685A"/>
    <w:rsid w:val="76E063E5"/>
    <w:rsid w:val="772E7C55"/>
    <w:rsid w:val="773F076E"/>
    <w:rsid w:val="776112D4"/>
    <w:rsid w:val="782D7408"/>
    <w:rsid w:val="7847056C"/>
    <w:rsid w:val="78B07953"/>
    <w:rsid w:val="78BB6B5E"/>
    <w:rsid w:val="78CC6C21"/>
    <w:rsid w:val="7A3902E6"/>
    <w:rsid w:val="7BF76929"/>
    <w:rsid w:val="7C802211"/>
    <w:rsid w:val="7D4D68A0"/>
    <w:rsid w:val="7D6C3670"/>
    <w:rsid w:val="7E6C1A02"/>
    <w:rsid w:val="7FD3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unhideWhenUsed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1"/>
      <w:szCs w:val="21"/>
      <w:lang w:val="en-US" w:eastAsia="zh-CN" w:bidi="ar"/>
    </w:rPr>
  </w:style>
  <w:style w:type="paragraph" w:styleId="5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</w:rPr>
  </w:style>
  <w:style w:type="paragraph" w:customStyle="1" w:styleId="15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kern w:val="2"/>
      <w:sz w:val="18"/>
      <w:szCs w:val="18"/>
    </w:rPr>
  </w:style>
  <w:style w:type="character" w:customStyle="1" w:styleId="19">
    <w:name w:val="font112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1">
    <w:name w:val="Table Normal"/>
    <w:basedOn w:val="9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Text"/>
    <w:basedOn w:val="1"/>
    <w:hidden/>
    <w:qFormat/>
    <w:uiPriority w:val="0"/>
    <w:pPr>
      <w:kinsoku w:val="0"/>
      <w:autoSpaceDE w:val="0"/>
      <w:autoSpaceDN w:val="0"/>
      <w:adjustRightInd w:val="0"/>
      <w:snapToGrid w:val="0"/>
      <w:spacing w:before="0" w:beforeAutospacing="0" w:after="0" w:afterAutospacing="0"/>
      <w:ind w:left="0" w:right="0"/>
      <w:jc w:val="left"/>
      <w:textAlignment w:val="baseline"/>
    </w:pPr>
    <w:rPr>
      <w:rFonts w:hint="eastAsia" w:ascii="宋体" w:hAnsi="宋体" w:eastAsia="宋体" w:cs="宋体"/>
      <w:snapToGrid/>
      <w:color w:val="000000"/>
      <w:kern w:val="0"/>
      <w:sz w:val="24"/>
      <w:szCs w:val="24"/>
      <w:lang w:val="en-US" w:eastAsia="zh-CN" w:bidi="ar"/>
    </w:rPr>
  </w:style>
  <w:style w:type="character" w:customStyle="1" w:styleId="23">
    <w:name w:val="font21"/>
    <w:basedOn w:val="11"/>
    <w:qFormat/>
    <w:uiPriority w:val="0"/>
    <w:rPr>
      <w:rFonts w:ascii="宋体" w:hAnsi="宋体" w:eastAsia="宋体" w:cs="宋体"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798</Words>
  <Characters>926</Characters>
  <Lines>1</Lines>
  <Paragraphs>1</Paragraphs>
  <TotalTime>18</TotalTime>
  <ScaleCrop>false</ScaleCrop>
  <LinksUpToDate>false</LinksUpToDate>
  <CharactersWithSpaces>928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2024-01-09T05:31:00Z</cp:lastPrinted>
  <dcterms:modified xsi:type="dcterms:W3CDTF">2024-01-16T07:56:42Z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3A23A845F23242A19E1F1CAA6A20DAC6</vt:lpwstr>
  </property>
</Properties>
</file>