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b/>
          <w:sz w:val="30"/>
          <w:szCs w:val="30"/>
          <w:lang w:val="en-US" w:eastAsia="zh-CN"/>
        </w:rPr>
      </w:pPr>
      <w:r>
        <w:rPr>
          <w:rFonts w:hint="eastAsia"/>
          <w:b/>
          <w:sz w:val="30"/>
          <w:szCs w:val="30"/>
          <w:lang w:val="en-US" w:eastAsia="zh-CN"/>
        </w:rPr>
        <w:t>附件2：</w:t>
      </w:r>
    </w:p>
    <w:p>
      <w:pPr>
        <w:jc w:val="center"/>
        <w:rPr>
          <w:rFonts w:hint="eastAsia"/>
          <w:b/>
          <w:sz w:val="30"/>
          <w:szCs w:val="30"/>
        </w:rPr>
      </w:pPr>
      <w:r>
        <w:rPr>
          <w:rFonts w:hint="eastAsia"/>
          <w:b/>
          <w:sz w:val="30"/>
          <w:szCs w:val="30"/>
          <w:lang w:val="en-US" w:eastAsia="zh-CN"/>
        </w:rPr>
        <w:t>采购</w:t>
      </w:r>
      <w:r>
        <w:rPr>
          <w:rFonts w:hint="eastAsia"/>
          <w:b/>
          <w:sz w:val="30"/>
          <w:szCs w:val="30"/>
        </w:rPr>
        <w:t>项目需求书</w:t>
      </w:r>
    </w:p>
    <w:p>
      <w:pPr>
        <w:spacing w:line="360" w:lineRule="auto"/>
        <w:jc w:val="center"/>
        <w:rPr>
          <w:rFonts w:hint="eastAsia" w:asciiTheme="minorEastAsia" w:hAnsiTheme="minorEastAsia" w:eastAsiaTheme="minorEastAsia" w:cstheme="minorEastAsia"/>
          <w:b/>
          <w:sz w:val="24"/>
        </w:rPr>
      </w:pPr>
    </w:p>
    <w:p>
      <w:pPr>
        <w:tabs>
          <w:tab w:val="left" w:pos="268"/>
        </w:tabs>
        <w:spacing w:line="360" w:lineRule="auto"/>
        <w:jc w:val="lef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一、项目概况</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1、本项目根据中华人民共和国环境保护行业标准HJ 421-2008代替环发［2003］188号文件要求，选择严格按照《医疗废物管理条例》和《医疗废物专用包装物、容器标准和警示标识规定》的规范要求组织生产、产品质量可靠、使用方便、安全和产品经国家相关产品质量检验部门检测合格的利器盒。</w:t>
      </w:r>
    </w:p>
    <w:p>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2、服务期</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val="en-US" w:eastAsia="zh-CN"/>
        </w:rPr>
        <w:t>1+1</w:t>
      </w:r>
      <w:r>
        <w:rPr>
          <w:rFonts w:hint="eastAsia" w:asciiTheme="minorEastAsia" w:hAnsiTheme="minorEastAsia" w:eastAsiaTheme="minorEastAsia" w:cstheme="minorEastAsia"/>
          <w:kern w:val="0"/>
          <w:sz w:val="24"/>
          <w:szCs w:val="24"/>
        </w:rPr>
        <w:t>年</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val="0"/>
          <w:bCs w:val="0"/>
          <w:color w:val="000000"/>
          <w:sz w:val="24"/>
          <w:szCs w:val="24"/>
        </w:rPr>
        <w:t>即合同</w:t>
      </w:r>
      <w:r>
        <w:rPr>
          <w:rFonts w:hint="eastAsia" w:asciiTheme="minorEastAsia" w:hAnsiTheme="minorEastAsia" w:eastAsiaTheme="minorEastAsia" w:cstheme="minorEastAsia"/>
          <w:color w:val="000000"/>
          <w:sz w:val="24"/>
          <w:szCs w:val="24"/>
        </w:rPr>
        <w:t>一年一签，在第一年的合同期满前1个月内，由甲方充分做好评估后，确认是否继续执行合同，如确认继续执行合同，则与乙方再续签一年合同，若未能达到约定的供货目标及本合同附件的要求，使用人投诉多或出现重大失误，则停止续签供货合同）</w:t>
      </w:r>
      <w:r>
        <w:rPr>
          <w:rFonts w:hint="eastAsia" w:asciiTheme="minorEastAsia" w:hAnsiTheme="minorEastAsia" w:eastAsiaTheme="minorEastAsia" w:cstheme="minorEastAsia"/>
          <w:kern w:val="0"/>
          <w:sz w:val="24"/>
          <w:szCs w:val="24"/>
        </w:rPr>
        <w:t>。</w:t>
      </w:r>
    </w:p>
    <w:p>
      <w:pPr>
        <w:numPr>
          <w:ilvl w:val="0"/>
          <w:numId w:val="0"/>
        </w:numPr>
        <w:spacing w:line="360" w:lineRule="auto"/>
        <w:rPr>
          <w:rFonts w:hint="eastAsia"/>
        </w:rPr>
      </w:pPr>
      <w:r>
        <w:rPr>
          <w:rFonts w:hint="eastAsia" w:asciiTheme="minorEastAsia" w:hAnsiTheme="minorEastAsia" w:eastAsiaTheme="minorEastAsia" w:cstheme="minorEastAsia"/>
          <w:b/>
          <w:bCs/>
          <w:sz w:val="24"/>
          <w:szCs w:val="24"/>
          <w:lang w:val="en-US" w:eastAsia="zh-CN"/>
        </w:rPr>
        <w:t>二、</w:t>
      </w:r>
      <w:r>
        <w:rPr>
          <w:rFonts w:hint="eastAsia" w:asciiTheme="minorEastAsia" w:hAnsiTheme="minorEastAsia" w:eastAsiaTheme="minorEastAsia" w:cstheme="minorEastAsia"/>
          <w:b/>
          <w:bCs/>
          <w:sz w:val="24"/>
          <w:szCs w:val="24"/>
        </w:rPr>
        <w:t>利器盒采购</w:t>
      </w:r>
      <w:r>
        <w:rPr>
          <w:rFonts w:hint="eastAsia" w:asciiTheme="minorEastAsia" w:hAnsiTheme="minorEastAsia" w:eastAsiaTheme="minorEastAsia" w:cstheme="minorEastAsia"/>
          <w:b/>
          <w:bCs/>
          <w:sz w:val="24"/>
          <w:szCs w:val="24"/>
          <w:lang w:val="en-US" w:eastAsia="zh-CN"/>
        </w:rPr>
        <w:t>需求和</w:t>
      </w:r>
      <w:r>
        <w:rPr>
          <w:rFonts w:hint="eastAsia" w:asciiTheme="minorEastAsia" w:hAnsiTheme="minorEastAsia" w:eastAsiaTheme="minorEastAsia" w:cstheme="minorEastAsia"/>
          <w:b/>
          <w:bCs/>
          <w:sz w:val="24"/>
          <w:szCs w:val="24"/>
        </w:rPr>
        <w:t>估算数量</w:t>
      </w:r>
    </w:p>
    <w:tbl>
      <w:tblPr>
        <w:tblStyle w:val="8"/>
        <w:tblW w:w="8078"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870"/>
        <w:gridCol w:w="960"/>
        <w:gridCol w:w="975"/>
        <w:gridCol w:w="900"/>
        <w:gridCol w:w="735"/>
        <w:gridCol w:w="163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966"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物品</w:t>
            </w:r>
          </w:p>
        </w:tc>
        <w:tc>
          <w:tcPr>
            <w:tcW w:w="870"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lang w:val="en-US" w:eastAsia="zh-CN"/>
              </w:rPr>
            </w:pPr>
            <w:r>
              <w:rPr>
                <w:rFonts w:hint="eastAsia" w:asciiTheme="minorEastAsia" w:hAnsiTheme="minorEastAsia" w:eastAsiaTheme="minorEastAsia" w:cstheme="minorEastAsia"/>
                <w:i w:val="0"/>
                <w:iCs w:val="0"/>
                <w:color w:val="000000"/>
                <w:sz w:val="24"/>
                <w:szCs w:val="24"/>
                <w:u w:val="none"/>
                <w:lang w:val="en-US" w:eastAsia="zh-CN"/>
              </w:rPr>
              <w:t>容积</w:t>
            </w:r>
          </w:p>
        </w:tc>
        <w:tc>
          <w:tcPr>
            <w:tcW w:w="2835" w:type="dxa"/>
            <w:gridSpan w:val="3"/>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sz w:val="24"/>
                <w:szCs w:val="24"/>
                <w:lang w:val="en-US" w:eastAsia="zh-CN"/>
              </w:rPr>
            </w:pPr>
            <w:r>
              <w:rPr>
                <w:rStyle w:val="12"/>
                <w:rFonts w:hint="eastAsia" w:asciiTheme="minorEastAsia" w:hAnsiTheme="minorEastAsia" w:eastAsiaTheme="minorEastAsia" w:cstheme="minorEastAsia"/>
                <w:color w:val="000000"/>
                <w:sz w:val="24"/>
                <w:szCs w:val="24"/>
                <w:lang w:val="en-US" w:eastAsia="zh-CN" w:bidi="ar"/>
              </w:rPr>
              <w:t>产品尺寸</w:t>
            </w:r>
            <w:r>
              <w:rPr>
                <w:rFonts w:hint="eastAsia" w:asciiTheme="minorEastAsia" w:hAnsiTheme="minorEastAsia" w:eastAsiaTheme="minorEastAsia" w:cstheme="minorEastAsia"/>
                <w:sz w:val="24"/>
                <w:szCs w:val="24"/>
                <w:lang w:val="en-US" w:eastAsia="zh-CN"/>
              </w:rPr>
              <w:t>（cm）</w:t>
            </w:r>
          </w:p>
        </w:tc>
        <w:tc>
          <w:tcPr>
            <w:tcW w:w="735"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单位</w:t>
            </w:r>
          </w:p>
        </w:tc>
        <w:tc>
          <w:tcPr>
            <w:tcW w:w="1635"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估算数量/年</w:t>
            </w:r>
          </w:p>
        </w:tc>
        <w:tc>
          <w:tcPr>
            <w:tcW w:w="1037" w:type="dxa"/>
            <w:noWrap w:val="0"/>
            <w:vAlign w:val="center"/>
          </w:tcPr>
          <w:p>
            <w:pPr>
              <w:keepNext w:val="0"/>
              <w:keepLines w:val="0"/>
              <w:widowControl/>
              <w:suppressLineNumbers w:val="0"/>
              <w:tabs>
                <w:tab w:val="left" w:pos="597"/>
              </w:tabs>
              <w:spacing w:line="360" w:lineRule="auto"/>
              <w:jc w:val="center"/>
              <w:textAlignment w:val="center"/>
              <w:rPr>
                <w:rStyle w:val="12"/>
                <w:rFonts w:hint="eastAsia" w:asciiTheme="minorEastAsia" w:hAnsiTheme="minorEastAsia" w:eastAsiaTheme="minorEastAsia" w:cstheme="minorEastAsia"/>
                <w:color w:val="000000"/>
                <w:sz w:val="24"/>
                <w:szCs w:val="24"/>
                <w:lang w:val="en-US" w:eastAsia="zh-CN" w:bidi="ar"/>
              </w:rPr>
            </w:pPr>
            <w:r>
              <w:rPr>
                <w:rStyle w:val="12"/>
                <w:rFonts w:hint="eastAsia" w:asciiTheme="minorEastAsia" w:hAnsiTheme="minorEastAsia" w:eastAsiaTheme="minorEastAsia" w:cstheme="minorEastAsia"/>
                <w:color w:val="000000"/>
                <w:sz w:val="24"/>
                <w:szCs w:val="24"/>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66" w:type="dxa"/>
            <w:vMerge w:val="restart"/>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利器盒方形</w:t>
            </w:r>
          </w:p>
        </w:tc>
        <w:tc>
          <w:tcPr>
            <w:tcW w:w="870" w:type="dxa"/>
            <w:vMerge w:val="restart"/>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8L</w:t>
            </w:r>
          </w:p>
        </w:tc>
        <w:tc>
          <w:tcPr>
            <w:tcW w:w="960"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lang w:val="en-US"/>
              </w:rPr>
            </w:pPr>
            <w:r>
              <w:rPr>
                <w:rStyle w:val="12"/>
                <w:rFonts w:hint="eastAsia" w:asciiTheme="minorEastAsia" w:hAnsiTheme="minorEastAsia" w:eastAsiaTheme="minorEastAsia" w:cstheme="minorEastAsia"/>
                <w:color w:val="000000"/>
                <w:sz w:val="24"/>
                <w:szCs w:val="24"/>
                <w:lang w:val="en-US" w:eastAsia="zh-CN" w:bidi="ar"/>
              </w:rPr>
              <w:t>长</w:t>
            </w:r>
          </w:p>
        </w:tc>
        <w:tc>
          <w:tcPr>
            <w:tcW w:w="975"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宽</w:t>
            </w:r>
          </w:p>
        </w:tc>
        <w:tc>
          <w:tcPr>
            <w:tcW w:w="900"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lang w:val="en-US" w:eastAsia="zh-CN"/>
              </w:rPr>
            </w:pPr>
            <w:r>
              <w:rPr>
                <w:rFonts w:hint="eastAsia" w:asciiTheme="minorEastAsia" w:hAnsiTheme="minorEastAsia" w:eastAsiaTheme="minorEastAsia" w:cstheme="minorEastAsia"/>
                <w:i w:val="0"/>
                <w:iCs w:val="0"/>
                <w:color w:val="000000"/>
                <w:sz w:val="24"/>
                <w:szCs w:val="24"/>
                <w:u w:val="none"/>
                <w:lang w:val="en-US" w:eastAsia="zh-CN"/>
              </w:rPr>
              <w:t>高</w:t>
            </w:r>
          </w:p>
        </w:tc>
        <w:tc>
          <w:tcPr>
            <w:tcW w:w="735" w:type="dxa"/>
            <w:vMerge w:val="restart"/>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个</w:t>
            </w:r>
          </w:p>
        </w:tc>
        <w:tc>
          <w:tcPr>
            <w:tcW w:w="1635" w:type="dxa"/>
            <w:vMerge w:val="restart"/>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6100</w:t>
            </w:r>
          </w:p>
        </w:tc>
        <w:tc>
          <w:tcPr>
            <w:tcW w:w="1037" w:type="dxa"/>
            <w:vMerge w:val="restart"/>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Style w:val="12"/>
                <w:rFonts w:hint="eastAsia" w:asciiTheme="minorEastAsia" w:hAnsiTheme="minorEastAsia" w:eastAsiaTheme="minorEastAsia" w:cstheme="minorEastAsia"/>
                <w:color w:val="000000"/>
                <w:sz w:val="24"/>
                <w:szCs w:val="24"/>
                <w:lang w:val="en-US" w:eastAsia="zh-CN" w:bidi="ar"/>
              </w:rPr>
              <w:t>卧式带手提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66" w:type="dxa"/>
            <w:vMerge w:val="continue"/>
            <w:noWrap w:val="0"/>
            <w:vAlign w:val="center"/>
          </w:tcPr>
          <w:p>
            <w:pPr>
              <w:spacing w:line="360" w:lineRule="auto"/>
              <w:jc w:val="center"/>
              <w:rPr>
                <w:rFonts w:hint="eastAsia" w:asciiTheme="minorEastAsia" w:hAnsiTheme="minorEastAsia" w:eastAsiaTheme="minorEastAsia" w:cstheme="minorEastAsia"/>
                <w:i w:val="0"/>
                <w:iCs w:val="0"/>
                <w:color w:val="000000"/>
                <w:sz w:val="24"/>
                <w:szCs w:val="24"/>
                <w:u w:val="none"/>
              </w:rPr>
            </w:pPr>
          </w:p>
        </w:tc>
        <w:tc>
          <w:tcPr>
            <w:tcW w:w="870" w:type="dxa"/>
            <w:vMerge w:val="continue"/>
            <w:noWrap w:val="0"/>
            <w:vAlign w:val="center"/>
          </w:tcPr>
          <w:p>
            <w:pPr>
              <w:spacing w:line="360" w:lineRule="auto"/>
              <w:jc w:val="center"/>
              <w:rPr>
                <w:rFonts w:hint="eastAsia" w:asciiTheme="minorEastAsia" w:hAnsiTheme="minorEastAsia" w:eastAsiaTheme="minorEastAsia" w:cstheme="minorEastAsia"/>
                <w:i w:val="0"/>
                <w:iCs w:val="0"/>
                <w:color w:val="000000"/>
                <w:sz w:val="24"/>
                <w:szCs w:val="24"/>
                <w:u w:val="none"/>
              </w:rPr>
            </w:pPr>
          </w:p>
        </w:tc>
        <w:tc>
          <w:tcPr>
            <w:tcW w:w="960"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lang w:val="en-US" w:eastAsia="zh-CN"/>
              </w:rPr>
            </w:pPr>
            <w:r>
              <w:rPr>
                <w:rFonts w:hint="eastAsia" w:asciiTheme="minorEastAsia" w:hAnsiTheme="minorEastAsia" w:eastAsiaTheme="minorEastAsia" w:cstheme="minorEastAsia"/>
                <w:i w:val="0"/>
                <w:iCs w:val="0"/>
                <w:color w:val="000000"/>
                <w:sz w:val="24"/>
                <w:szCs w:val="24"/>
                <w:u w:val="none"/>
                <w:lang w:val="en-US" w:eastAsia="zh-CN"/>
              </w:rPr>
              <w:t>30-32</w:t>
            </w:r>
          </w:p>
        </w:tc>
        <w:tc>
          <w:tcPr>
            <w:tcW w:w="975"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lang w:val="en-US" w:eastAsia="zh-CN"/>
              </w:rPr>
            </w:pPr>
            <w:r>
              <w:rPr>
                <w:rFonts w:hint="eastAsia" w:asciiTheme="minorEastAsia" w:hAnsiTheme="minorEastAsia" w:eastAsiaTheme="minorEastAsia" w:cstheme="minorEastAsia"/>
                <w:i w:val="0"/>
                <w:iCs w:val="0"/>
                <w:color w:val="000000"/>
                <w:sz w:val="24"/>
                <w:szCs w:val="24"/>
                <w:u w:val="none"/>
                <w:lang w:val="en-US" w:eastAsia="zh-CN"/>
              </w:rPr>
              <w:t>20-22</w:t>
            </w:r>
          </w:p>
        </w:tc>
        <w:tc>
          <w:tcPr>
            <w:tcW w:w="900"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lang w:val="en-US" w:eastAsia="zh-CN"/>
              </w:rPr>
            </w:pPr>
            <w:r>
              <w:rPr>
                <w:rFonts w:hint="eastAsia" w:asciiTheme="minorEastAsia" w:hAnsiTheme="minorEastAsia" w:eastAsiaTheme="minorEastAsia" w:cstheme="minorEastAsia"/>
                <w:i w:val="0"/>
                <w:iCs w:val="0"/>
                <w:color w:val="000000"/>
                <w:sz w:val="24"/>
                <w:szCs w:val="24"/>
                <w:u w:val="none"/>
                <w:lang w:val="en-US" w:eastAsia="zh-CN"/>
              </w:rPr>
              <w:t>15-17</w:t>
            </w:r>
          </w:p>
        </w:tc>
        <w:tc>
          <w:tcPr>
            <w:tcW w:w="735" w:type="dxa"/>
            <w:vMerge w:val="continue"/>
            <w:noWrap w:val="0"/>
            <w:vAlign w:val="center"/>
          </w:tcPr>
          <w:p>
            <w:pPr>
              <w:spacing w:line="360" w:lineRule="auto"/>
              <w:jc w:val="center"/>
              <w:rPr>
                <w:rFonts w:hint="eastAsia" w:asciiTheme="minorEastAsia" w:hAnsiTheme="minorEastAsia" w:eastAsiaTheme="minorEastAsia" w:cstheme="minorEastAsia"/>
                <w:i w:val="0"/>
                <w:iCs w:val="0"/>
                <w:color w:val="000000"/>
                <w:sz w:val="24"/>
                <w:szCs w:val="24"/>
                <w:u w:val="none"/>
              </w:rPr>
            </w:pPr>
          </w:p>
        </w:tc>
        <w:tc>
          <w:tcPr>
            <w:tcW w:w="1635" w:type="dxa"/>
            <w:vMerge w:val="continue"/>
            <w:noWrap w:val="0"/>
            <w:vAlign w:val="center"/>
          </w:tcPr>
          <w:p>
            <w:pPr>
              <w:spacing w:line="360" w:lineRule="auto"/>
              <w:jc w:val="center"/>
              <w:rPr>
                <w:rFonts w:hint="eastAsia" w:asciiTheme="minorEastAsia" w:hAnsiTheme="minorEastAsia" w:eastAsiaTheme="minorEastAsia" w:cstheme="minorEastAsia"/>
                <w:i w:val="0"/>
                <w:iCs w:val="0"/>
                <w:color w:val="000000"/>
                <w:sz w:val="24"/>
                <w:szCs w:val="24"/>
                <w:u w:val="none"/>
              </w:rPr>
            </w:pPr>
          </w:p>
        </w:tc>
        <w:tc>
          <w:tcPr>
            <w:tcW w:w="1037" w:type="dxa"/>
            <w:vMerge w:val="continue"/>
            <w:noWrap w:val="0"/>
            <w:vAlign w:val="center"/>
          </w:tcPr>
          <w:p>
            <w:pPr>
              <w:spacing w:line="360" w:lineRule="auto"/>
              <w:jc w:val="center"/>
              <w:rPr>
                <w:rFonts w:hint="eastAsia" w:asciiTheme="minorEastAsia" w:hAnsiTheme="minorEastAsia" w:eastAsiaTheme="minorEastAsia" w:cstheme="minorEastAsia"/>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66" w:type="dxa"/>
            <w:vMerge w:val="restart"/>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利器盒方形</w:t>
            </w:r>
          </w:p>
        </w:tc>
        <w:tc>
          <w:tcPr>
            <w:tcW w:w="870" w:type="dxa"/>
            <w:vMerge w:val="restart"/>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15L</w:t>
            </w:r>
          </w:p>
        </w:tc>
        <w:tc>
          <w:tcPr>
            <w:tcW w:w="960"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长</w:t>
            </w:r>
          </w:p>
        </w:tc>
        <w:tc>
          <w:tcPr>
            <w:tcW w:w="975"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宽</w:t>
            </w:r>
          </w:p>
        </w:tc>
        <w:tc>
          <w:tcPr>
            <w:tcW w:w="900"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高</w:t>
            </w:r>
          </w:p>
        </w:tc>
        <w:tc>
          <w:tcPr>
            <w:tcW w:w="735" w:type="dxa"/>
            <w:vMerge w:val="restart"/>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个</w:t>
            </w:r>
          </w:p>
        </w:tc>
        <w:tc>
          <w:tcPr>
            <w:tcW w:w="1635" w:type="dxa"/>
            <w:vMerge w:val="restart"/>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7400</w:t>
            </w:r>
          </w:p>
        </w:tc>
        <w:tc>
          <w:tcPr>
            <w:tcW w:w="1037" w:type="dxa"/>
            <w:vMerge w:val="restart"/>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带手提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966" w:type="dxa"/>
            <w:vMerge w:val="continue"/>
            <w:noWrap w:val="0"/>
            <w:vAlign w:val="center"/>
          </w:tcPr>
          <w:p>
            <w:pPr>
              <w:spacing w:line="360" w:lineRule="auto"/>
              <w:jc w:val="center"/>
              <w:rPr>
                <w:rFonts w:hint="eastAsia" w:asciiTheme="minorEastAsia" w:hAnsiTheme="minorEastAsia" w:eastAsiaTheme="minorEastAsia" w:cstheme="minorEastAsia"/>
                <w:i w:val="0"/>
                <w:iCs w:val="0"/>
                <w:color w:val="000000"/>
                <w:sz w:val="24"/>
                <w:szCs w:val="24"/>
                <w:u w:val="none"/>
              </w:rPr>
            </w:pPr>
          </w:p>
        </w:tc>
        <w:tc>
          <w:tcPr>
            <w:tcW w:w="870" w:type="dxa"/>
            <w:vMerge w:val="continue"/>
            <w:noWrap w:val="0"/>
            <w:vAlign w:val="center"/>
          </w:tcPr>
          <w:p>
            <w:pPr>
              <w:spacing w:line="360" w:lineRule="auto"/>
              <w:jc w:val="center"/>
              <w:rPr>
                <w:rFonts w:hint="eastAsia" w:asciiTheme="minorEastAsia" w:hAnsiTheme="minorEastAsia" w:eastAsiaTheme="minorEastAsia" w:cstheme="minorEastAsia"/>
                <w:i w:val="0"/>
                <w:iCs w:val="0"/>
                <w:color w:val="000000"/>
                <w:sz w:val="24"/>
                <w:szCs w:val="24"/>
                <w:u w:val="none"/>
              </w:rPr>
            </w:pPr>
          </w:p>
        </w:tc>
        <w:tc>
          <w:tcPr>
            <w:tcW w:w="960"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lang w:val="en-US" w:eastAsia="zh-CN"/>
              </w:rPr>
            </w:pPr>
            <w:r>
              <w:rPr>
                <w:rFonts w:hint="eastAsia" w:asciiTheme="minorEastAsia" w:hAnsiTheme="minorEastAsia" w:eastAsiaTheme="minorEastAsia" w:cstheme="minorEastAsia"/>
                <w:i w:val="0"/>
                <w:iCs w:val="0"/>
                <w:color w:val="000000"/>
                <w:sz w:val="24"/>
                <w:szCs w:val="24"/>
                <w:u w:val="none"/>
                <w:lang w:val="en-US" w:eastAsia="zh-CN"/>
              </w:rPr>
              <w:t>29-30</w:t>
            </w:r>
          </w:p>
        </w:tc>
        <w:tc>
          <w:tcPr>
            <w:tcW w:w="975"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lang w:val="en-US" w:eastAsia="zh-CN"/>
              </w:rPr>
            </w:pPr>
            <w:r>
              <w:rPr>
                <w:rFonts w:hint="eastAsia" w:asciiTheme="minorEastAsia" w:hAnsiTheme="minorEastAsia" w:eastAsiaTheme="minorEastAsia" w:cstheme="minorEastAsia"/>
                <w:i w:val="0"/>
                <w:iCs w:val="0"/>
                <w:color w:val="000000"/>
                <w:sz w:val="24"/>
                <w:szCs w:val="24"/>
                <w:u w:val="none"/>
                <w:lang w:val="en-US" w:eastAsia="zh-CN"/>
              </w:rPr>
              <w:t>20-21</w:t>
            </w:r>
          </w:p>
        </w:tc>
        <w:tc>
          <w:tcPr>
            <w:tcW w:w="900"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lang w:val="en-US" w:eastAsia="zh-CN"/>
              </w:rPr>
            </w:pPr>
            <w:r>
              <w:rPr>
                <w:rFonts w:hint="eastAsia" w:asciiTheme="minorEastAsia" w:hAnsiTheme="minorEastAsia" w:eastAsiaTheme="minorEastAsia" w:cstheme="minorEastAsia"/>
                <w:i w:val="0"/>
                <w:iCs w:val="0"/>
                <w:color w:val="000000"/>
                <w:sz w:val="24"/>
                <w:szCs w:val="24"/>
                <w:u w:val="none"/>
                <w:lang w:val="en-US" w:eastAsia="zh-CN"/>
              </w:rPr>
              <w:t>28-30</w:t>
            </w:r>
          </w:p>
        </w:tc>
        <w:tc>
          <w:tcPr>
            <w:tcW w:w="735" w:type="dxa"/>
            <w:vMerge w:val="continue"/>
            <w:noWrap w:val="0"/>
            <w:vAlign w:val="center"/>
          </w:tcPr>
          <w:p>
            <w:pPr>
              <w:spacing w:line="360" w:lineRule="auto"/>
              <w:jc w:val="center"/>
              <w:rPr>
                <w:rFonts w:hint="eastAsia" w:asciiTheme="minorEastAsia" w:hAnsiTheme="minorEastAsia" w:eastAsiaTheme="minorEastAsia" w:cstheme="minorEastAsia"/>
                <w:i w:val="0"/>
                <w:iCs w:val="0"/>
                <w:color w:val="000000"/>
                <w:sz w:val="24"/>
                <w:szCs w:val="24"/>
                <w:u w:val="none"/>
              </w:rPr>
            </w:pPr>
          </w:p>
        </w:tc>
        <w:tc>
          <w:tcPr>
            <w:tcW w:w="1635" w:type="dxa"/>
            <w:vMerge w:val="continue"/>
            <w:noWrap w:val="0"/>
            <w:vAlign w:val="center"/>
          </w:tcPr>
          <w:p>
            <w:pPr>
              <w:spacing w:line="360" w:lineRule="auto"/>
              <w:jc w:val="center"/>
              <w:rPr>
                <w:rFonts w:hint="eastAsia" w:asciiTheme="minorEastAsia" w:hAnsiTheme="minorEastAsia" w:eastAsiaTheme="minorEastAsia" w:cstheme="minorEastAsia"/>
                <w:i w:val="0"/>
                <w:iCs w:val="0"/>
                <w:color w:val="000000"/>
                <w:sz w:val="24"/>
                <w:szCs w:val="24"/>
                <w:u w:val="none"/>
              </w:rPr>
            </w:pPr>
          </w:p>
        </w:tc>
        <w:tc>
          <w:tcPr>
            <w:tcW w:w="1037" w:type="dxa"/>
            <w:vMerge w:val="continue"/>
            <w:noWrap w:val="0"/>
            <w:vAlign w:val="center"/>
          </w:tcPr>
          <w:p>
            <w:pPr>
              <w:spacing w:line="360" w:lineRule="auto"/>
              <w:jc w:val="center"/>
              <w:rPr>
                <w:rFonts w:hint="eastAsia" w:asciiTheme="minorEastAsia" w:hAnsiTheme="minorEastAsia" w:eastAsiaTheme="minorEastAsia" w:cstheme="minorEastAsia"/>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66" w:type="dxa"/>
            <w:vMerge w:val="restart"/>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利器盒方形</w:t>
            </w:r>
          </w:p>
        </w:tc>
        <w:tc>
          <w:tcPr>
            <w:tcW w:w="870" w:type="dxa"/>
            <w:vMerge w:val="restart"/>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30L</w:t>
            </w:r>
          </w:p>
        </w:tc>
        <w:tc>
          <w:tcPr>
            <w:tcW w:w="960"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长</w:t>
            </w:r>
          </w:p>
        </w:tc>
        <w:tc>
          <w:tcPr>
            <w:tcW w:w="975"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宽</w:t>
            </w:r>
          </w:p>
        </w:tc>
        <w:tc>
          <w:tcPr>
            <w:tcW w:w="900"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高</w:t>
            </w:r>
          </w:p>
        </w:tc>
        <w:tc>
          <w:tcPr>
            <w:tcW w:w="735" w:type="dxa"/>
            <w:vMerge w:val="restart"/>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Style w:val="12"/>
                <w:rFonts w:hint="eastAsia" w:asciiTheme="minorEastAsia" w:hAnsiTheme="minorEastAsia" w:eastAsiaTheme="minorEastAsia" w:cstheme="minorEastAsia"/>
                <w:color w:val="000000"/>
                <w:sz w:val="24"/>
                <w:szCs w:val="24"/>
                <w:lang w:val="en-US" w:eastAsia="zh-CN" w:bidi="ar"/>
              </w:rPr>
              <w:t>个</w:t>
            </w:r>
          </w:p>
        </w:tc>
        <w:tc>
          <w:tcPr>
            <w:tcW w:w="1635" w:type="dxa"/>
            <w:vMerge w:val="restart"/>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4200</w:t>
            </w:r>
          </w:p>
        </w:tc>
        <w:tc>
          <w:tcPr>
            <w:tcW w:w="1037" w:type="dxa"/>
            <w:vMerge w:val="restart"/>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966" w:type="dxa"/>
            <w:vMerge w:val="continue"/>
            <w:noWrap w:val="0"/>
            <w:vAlign w:val="center"/>
          </w:tcPr>
          <w:p>
            <w:pPr>
              <w:spacing w:line="360" w:lineRule="auto"/>
              <w:jc w:val="center"/>
              <w:rPr>
                <w:rFonts w:hint="eastAsia" w:asciiTheme="minorEastAsia" w:hAnsiTheme="minorEastAsia" w:eastAsiaTheme="minorEastAsia" w:cstheme="minorEastAsia"/>
                <w:i w:val="0"/>
                <w:iCs w:val="0"/>
                <w:color w:val="000000"/>
                <w:sz w:val="24"/>
                <w:szCs w:val="24"/>
                <w:u w:val="none"/>
              </w:rPr>
            </w:pPr>
          </w:p>
        </w:tc>
        <w:tc>
          <w:tcPr>
            <w:tcW w:w="870" w:type="dxa"/>
            <w:vMerge w:val="continue"/>
            <w:noWrap w:val="0"/>
            <w:vAlign w:val="center"/>
          </w:tcPr>
          <w:p>
            <w:pPr>
              <w:spacing w:line="360" w:lineRule="auto"/>
              <w:jc w:val="center"/>
              <w:rPr>
                <w:rFonts w:hint="eastAsia" w:asciiTheme="minorEastAsia" w:hAnsiTheme="minorEastAsia" w:eastAsiaTheme="minorEastAsia" w:cstheme="minorEastAsia"/>
                <w:i w:val="0"/>
                <w:iCs w:val="0"/>
                <w:color w:val="000000"/>
                <w:sz w:val="24"/>
                <w:szCs w:val="24"/>
                <w:u w:val="none"/>
              </w:rPr>
            </w:pPr>
          </w:p>
        </w:tc>
        <w:tc>
          <w:tcPr>
            <w:tcW w:w="960"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lang w:val="en-US" w:eastAsia="zh-CN"/>
              </w:rPr>
            </w:pPr>
            <w:r>
              <w:rPr>
                <w:rFonts w:hint="eastAsia" w:asciiTheme="minorEastAsia" w:hAnsiTheme="minorEastAsia" w:eastAsiaTheme="minorEastAsia" w:cstheme="minorEastAsia"/>
                <w:i w:val="0"/>
                <w:iCs w:val="0"/>
                <w:color w:val="000000"/>
                <w:sz w:val="24"/>
                <w:szCs w:val="24"/>
                <w:u w:val="none"/>
                <w:lang w:val="en-US" w:eastAsia="zh-CN"/>
              </w:rPr>
              <w:t>34-35</w:t>
            </w:r>
          </w:p>
        </w:tc>
        <w:tc>
          <w:tcPr>
            <w:tcW w:w="975"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lang w:val="en-US" w:eastAsia="zh-CN"/>
              </w:rPr>
            </w:pPr>
            <w:r>
              <w:rPr>
                <w:rFonts w:hint="eastAsia" w:asciiTheme="minorEastAsia" w:hAnsiTheme="minorEastAsia" w:eastAsiaTheme="minorEastAsia" w:cstheme="minorEastAsia"/>
                <w:i w:val="0"/>
                <w:iCs w:val="0"/>
                <w:color w:val="000000"/>
                <w:sz w:val="24"/>
                <w:szCs w:val="24"/>
                <w:u w:val="none"/>
                <w:lang w:val="en-US" w:eastAsia="zh-CN"/>
              </w:rPr>
              <w:t>23-26</w:t>
            </w:r>
          </w:p>
        </w:tc>
        <w:tc>
          <w:tcPr>
            <w:tcW w:w="900" w:type="dxa"/>
            <w:noWrap w:val="0"/>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lang w:val="en-US" w:eastAsia="zh-CN"/>
              </w:rPr>
            </w:pPr>
            <w:r>
              <w:rPr>
                <w:rFonts w:hint="eastAsia" w:asciiTheme="minorEastAsia" w:hAnsiTheme="minorEastAsia" w:eastAsiaTheme="minorEastAsia" w:cstheme="minorEastAsia"/>
                <w:i w:val="0"/>
                <w:iCs w:val="0"/>
                <w:color w:val="000000"/>
                <w:sz w:val="24"/>
                <w:szCs w:val="24"/>
                <w:u w:val="none"/>
                <w:lang w:val="en-US" w:eastAsia="zh-CN"/>
              </w:rPr>
              <w:t>39-43</w:t>
            </w:r>
          </w:p>
        </w:tc>
        <w:tc>
          <w:tcPr>
            <w:tcW w:w="735" w:type="dxa"/>
            <w:vMerge w:val="continue"/>
            <w:noWrap w:val="0"/>
            <w:vAlign w:val="center"/>
          </w:tcPr>
          <w:p>
            <w:pPr>
              <w:spacing w:line="360" w:lineRule="auto"/>
              <w:jc w:val="center"/>
              <w:rPr>
                <w:rFonts w:hint="eastAsia" w:asciiTheme="minorEastAsia" w:hAnsiTheme="minorEastAsia" w:eastAsiaTheme="minorEastAsia" w:cstheme="minorEastAsia"/>
                <w:i w:val="0"/>
                <w:iCs w:val="0"/>
                <w:color w:val="000000"/>
                <w:sz w:val="24"/>
                <w:szCs w:val="24"/>
                <w:u w:val="none"/>
              </w:rPr>
            </w:pPr>
          </w:p>
        </w:tc>
        <w:tc>
          <w:tcPr>
            <w:tcW w:w="1635" w:type="dxa"/>
            <w:vMerge w:val="continue"/>
            <w:noWrap w:val="0"/>
            <w:vAlign w:val="center"/>
          </w:tcPr>
          <w:p>
            <w:pPr>
              <w:spacing w:line="360" w:lineRule="auto"/>
              <w:jc w:val="center"/>
              <w:rPr>
                <w:rFonts w:hint="eastAsia" w:asciiTheme="minorEastAsia" w:hAnsiTheme="minorEastAsia" w:eastAsiaTheme="minorEastAsia" w:cstheme="minorEastAsia"/>
                <w:i w:val="0"/>
                <w:iCs w:val="0"/>
                <w:color w:val="000000"/>
                <w:sz w:val="24"/>
                <w:szCs w:val="24"/>
                <w:u w:val="none"/>
              </w:rPr>
            </w:pPr>
          </w:p>
        </w:tc>
        <w:tc>
          <w:tcPr>
            <w:tcW w:w="1037" w:type="dxa"/>
            <w:vMerge w:val="continue"/>
            <w:noWrap w:val="0"/>
            <w:vAlign w:val="center"/>
          </w:tcPr>
          <w:p>
            <w:pPr>
              <w:spacing w:line="360" w:lineRule="auto"/>
              <w:jc w:val="center"/>
              <w:rPr>
                <w:rFonts w:hint="eastAsia" w:asciiTheme="minorEastAsia" w:hAnsiTheme="minorEastAsia" w:eastAsiaTheme="minorEastAsia" w:cstheme="minorEastAsia"/>
                <w:i w:val="0"/>
                <w:iCs w:val="0"/>
                <w:color w:val="000000"/>
                <w:sz w:val="24"/>
                <w:szCs w:val="24"/>
                <w:u w:val="none"/>
              </w:rPr>
            </w:pPr>
          </w:p>
        </w:tc>
      </w:tr>
    </w:tbl>
    <w:p>
      <w:pPr>
        <w:pStyle w:val="2"/>
        <w:spacing w:line="360" w:lineRule="auto"/>
        <w:rPr>
          <w:rFonts w:hint="eastAsia" w:asciiTheme="minorEastAsia" w:hAnsiTheme="minorEastAsia" w:eastAsiaTheme="minorEastAsia" w:cstheme="minorEastAsia"/>
          <w:sz w:val="24"/>
          <w:szCs w:val="24"/>
        </w:rPr>
      </w:pP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1、上表为根据医院在用治疗车尺寸并参考现用医疗废物利器盒规格制定。</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必要时</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需按个别科室需求尺寸度量订做</w:t>
      </w:r>
      <w:r>
        <w:rPr>
          <w:rFonts w:hint="eastAsia" w:asciiTheme="minorEastAsia" w:hAnsiTheme="minorEastAsia" w:eastAsiaTheme="minorEastAsia" w:cstheme="minorEastAsia"/>
          <w:sz w:val="24"/>
          <w:szCs w:val="24"/>
          <w:lang w:eastAsia="zh-CN"/>
        </w:rPr>
        <w:t>。</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三</w:t>
      </w:r>
      <w:r>
        <w:rPr>
          <w:rFonts w:hint="eastAsia" w:asciiTheme="minorEastAsia" w:hAnsiTheme="minorEastAsia" w:eastAsiaTheme="minorEastAsia" w:cstheme="minorEastAsia"/>
          <w:b/>
          <w:bCs/>
          <w:sz w:val="24"/>
          <w:szCs w:val="24"/>
        </w:rPr>
        <w:t>、聚炳烯（PP）利器盒要求</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符合国家《医疗废物管理条例》和《医疗废物专用包装物、容器标准和警示标识规定》的规定要求。</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1.产品用途</w:t>
      </w:r>
    </w:p>
    <w:p>
      <w:pPr>
        <w:spacing w:line="360" w:lineRule="auto"/>
        <w:ind w:left="48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1.1利器盒用于盛装注射器，输液器等一次性使用物品的针头；</w:t>
      </w:r>
    </w:p>
    <w:p>
      <w:pPr>
        <w:spacing w:line="360" w:lineRule="auto"/>
        <w:ind w:left="48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1.2盛装各类刀片，头皮针，缝合针，小玻璃等锐器；</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1.3盛装带血的整副注射器，输血器，血袋等所有接触血液的医用器材；</w:t>
      </w:r>
    </w:p>
    <w:p>
      <w:pPr>
        <w:spacing w:line="360" w:lineRule="auto"/>
        <w:ind w:left="48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1.4盛装其它规定放入利器盒的医疗危险感染物品。</w:t>
      </w:r>
    </w:p>
    <w:p>
      <w:pPr>
        <w:spacing w:line="360" w:lineRule="auto"/>
        <w:ind w:left="48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2．产品性能</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利器盒产品严格按照《医疗废物管理条例》和《医疗废物专用包装物、容器标准和警示标识规定》的规范要求组织生产，产品质量可靠，使用方便，安全，产品经国家相关产品质量检验部门检测合格（提供产品第三方质检合格证明材料）</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2.2产品采用不含PVC新聚丙烯料，具无毒，抗震，耐穿刺，不渗漏，易于高温焚烧封闭后无法在不破坏的情况下打开的基本性能。</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2.3利器盒为一次性使用，按国家要求，规定在24小时内必须由医疗废物处置单位回收，在48小时内彻底安全焚化。</w:t>
      </w:r>
    </w:p>
    <w:p>
      <w:pPr>
        <w:spacing w:line="360" w:lineRule="auto"/>
        <w:ind w:left="48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3.产品技术</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必须符合《医疗废物管理条例》和《医疗废物专用包装物、容器标准和警示标识规定》规定的标准和要求。</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3.1利器盒整体为硬质材料制成，封闭且防刺穿，以保证在盛装物不撒漏，利器盒整体颜色为淡黄，颜色应符合GB/T 3181 中Y06的要求，利器盒侧面明显处，印标准的警示标志，警告语为“警告！损伤性废物”。</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3.2利器盒能防刺穿，其盛装的注射器针头、破碎玻璃片等锐利器具，不能刺穿利器盒；满盛装量的利器盒从1.2米高处自由跌落至水泥地面，连续3次，不会出现破裂，被刺穿等情况。</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3.3利器盒工作口设计合理，大小适中，能方便地分离注射器的针头，并使注射器内残液不易外溅，有较大操作空间，确保安全。</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3.4利器盒工作口平滑线型设计，能便利地收集整副带血的注射器，输液器，不产生卡滞现象。</w:t>
      </w:r>
    </w:p>
    <w:p>
      <w:pPr>
        <w:spacing w:line="360" w:lineRule="auto"/>
        <w:ind w:left="48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3.5利器盒易于焚烧，不得使用聚氯乙烯塑料作为制造原材料</w:t>
      </w:r>
    </w:p>
    <w:p>
      <w:pPr>
        <w:spacing w:line="360" w:lineRule="auto"/>
        <w:jc w:val="lef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四</w:t>
      </w:r>
      <w:r>
        <w:rPr>
          <w:rFonts w:hint="eastAsia" w:asciiTheme="minorEastAsia" w:hAnsiTheme="minorEastAsia" w:eastAsiaTheme="minorEastAsia" w:cstheme="minorEastAsia"/>
          <w:b/>
          <w:bCs/>
          <w:sz w:val="24"/>
          <w:szCs w:val="24"/>
        </w:rPr>
        <w:t>、报价要求</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1.报价应包含产品的价格以及运至医院指定位置的运输费、装卸费、税金的所有费用。</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按照整体下浮率进行报价，并</w:t>
      </w:r>
      <w:r>
        <w:rPr>
          <w:rFonts w:hint="eastAsia" w:asciiTheme="minorEastAsia" w:hAnsiTheme="minorEastAsia" w:eastAsiaTheme="minorEastAsia" w:cstheme="minorEastAsia"/>
          <w:sz w:val="24"/>
          <w:szCs w:val="24"/>
        </w:rPr>
        <w:t>标明品牌。</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应熟知本项目有关要求，合理确定报价，并对报价的准确性承担一切责任。</w:t>
      </w:r>
    </w:p>
    <w:p>
      <w:pPr>
        <w:spacing w:line="360" w:lineRule="auto"/>
        <w:jc w:val="lef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五</w:t>
      </w:r>
      <w:r>
        <w:rPr>
          <w:rFonts w:hint="eastAsia" w:asciiTheme="minorEastAsia" w:hAnsiTheme="minorEastAsia" w:eastAsiaTheme="minorEastAsia" w:cstheme="minorEastAsia"/>
          <w:b/>
          <w:bCs/>
          <w:sz w:val="24"/>
          <w:szCs w:val="24"/>
        </w:rPr>
        <w:t>、服务要求</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须按采购人提供所需规格样品，样品并将封存。</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送货，如出现质量问题或假冒伪劣产品，</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负责包退，包换，发生的费用由</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自行负责，并对造成的损失承担赔偿责任，并承担相应的责任。确保所提供的货物合格率达到 100%。</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要做到遵守采购人的各项规章制度，应开具正规发票，标明品牌，规格，单价及数量等，将送货单随货到指定地点，经验收合格后视为收</w:t>
      </w:r>
      <w:r>
        <w:rPr>
          <w:rFonts w:hint="eastAsia" w:asciiTheme="minorEastAsia" w:hAnsiTheme="minorEastAsia" w:eastAsiaTheme="minorEastAsia" w:cstheme="minorEastAsia"/>
          <w:sz w:val="24"/>
          <w:szCs w:val="24"/>
          <w:lang w:val="en-US" w:eastAsia="zh-CN"/>
        </w:rPr>
        <w:t>货</w:t>
      </w:r>
      <w:r>
        <w:rPr>
          <w:rFonts w:hint="eastAsia" w:asciiTheme="minorEastAsia" w:hAnsiTheme="minorEastAsia" w:eastAsiaTheme="minorEastAsia" w:cstheme="minorEastAsia"/>
          <w:sz w:val="24"/>
          <w:szCs w:val="24"/>
        </w:rPr>
        <w:t>。</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4.若</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合同期内达不到采购人需求，每次按不低于500元不高于1000元的幅度酌情处罚，严重时，采购人可终止合同。</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在交货时应保证货物有具体的防护措施，并对货物的整个交货过程负责。</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须提供利器盒专业使用培训，以确保工作人员的安全以及使用不当造成的浪费。</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六</w:t>
      </w:r>
      <w:r>
        <w:rPr>
          <w:rFonts w:hint="eastAsia" w:asciiTheme="minorEastAsia" w:hAnsiTheme="minorEastAsia" w:eastAsiaTheme="minorEastAsia" w:cstheme="minorEastAsia"/>
          <w:b/>
          <w:bCs/>
          <w:sz w:val="24"/>
          <w:szCs w:val="24"/>
        </w:rPr>
        <w:t>、付款方式</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1.本项目按实际采购数量﹡单价进行结算。</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2.合同签订生效后按采购人实际需要批次供货，30个工作日内支付一次货款。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凭以下有效文件与采购人结算货款：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①合同；</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开具的正式发票；</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③验收合格报告（加盖采购人公章）</w:t>
      </w:r>
    </w:p>
    <w:p>
      <w:pPr>
        <w:ind w:firstLine="560" w:firstLineChars="200"/>
        <w:rPr>
          <w:rFonts w:hint="eastAsia"/>
        </w:rPr>
      </w:pPr>
      <w:r>
        <w:rPr>
          <w:rFonts w:hint="eastAsia"/>
          <w:sz w:val="28"/>
          <w:szCs w:val="28"/>
        </w:rPr>
        <w:t xml:space="preserve">     </w:t>
      </w:r>
    </w:p>
    <w:p>
      <w:pPr>
        <w:rPr>
          <w:rFonts w:hint="default"/>
          <w:sz w:val="21"/>
          <w:szCs w:val="21"/>
          <w:lang w:val="en-US" w:eastAsia="zh-CN"/>
        </w:rPr>
      </w:pPr>
    </w:p>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bookmarkStart w:id="0" w:name="_GoBack"/>
    <w:bookmarkEnd w:id="0"/>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hYWFiODg4Y2Y1OWYxYmJmMjc4OTUzZDFlZThkZjYifQ=="/>
  </w:docVars>
  <w:rsids>
    <w:rsidRoot w:val="00000000"/>
    <w:rsid w:val="070B125C"/>
    <w:rsid w:val="0ADF0A36"/>
    <w:rsid w:val="11147385"/>
    <w:rsid w:val="11D819B1"/>
    <w:rsid w:val="14131596"/>
    <w:rsid w:val="158D1021"/>
    <w:rsid w:val="17EC17D7"/>
    <w:rsid w:val="18700F1F"/>
    <w:rsid w:val="234F5BD5"/>
    <w:rsid w:val="24FB6014"/>
    <w:rsid w:val="28425D08"/>
    <w:rsid w:val="2CDF24D2"/>
    <w:rsid w:val="2FCE61C2"/>
    <w:rsid w:val="30732B5D"/>
    <w:rsid w:val="32456B21"/>
    <w:rsid w:val="325F5E35"/>
    <w:rsid w:val="33813B89"/>
    <w:rsid w:val="34763909"/>
    <w:rsid w:val="372E5DD5"/>
    <w:rsid w:val="38492697"/>
    <w:rsid w:val="38CC58A6"/>
    <w:rsid w:val="3C480B3F"/>
    <w:rsid w:val="40073668"/>
    <w:rsid w:val="41A53138"/>
    <w:rsid w:val="445C3D4B"/>
    <w:rsid w:val="474E7D1D"/>
    <w:rsid w:val="48C540C0"/>
    <w:rsid w:val="4F1A33B7"/>
    <w:rsid w:val="52FC4B82"/>
    <w:rsid w:val="53916747"/>
    <w:rsid w:val="54B73456"/>
    <w:rsid w:val="582F100E"/>
    <w:rsid w:val="5A9A1850"/>
    <w:rsid w:val="5D1C479E"/>
    <w:rsid w:val="60D14BAF"/>
    <w:rsid w:val="64396F5A"/>
    <w:rsid w:val="65510D5D"/>
    <w:rsid w:val="69280027"/>
    <w:rsid w:val="6CC10EBE"/>
    <w:rsid w:val="6F1C23DC"/>
    <w:rsid w:val="6F1E7F02"/>
    <w:rsid w:val="71C540BB"/>
    <w:rsid w:val="747157BA"/>
    <w:rsid w:val="755D58EC"/>
    <w:rsid w:val="7A3251AA"/>
    <w:rsid w:val="7A483165"/>
    <w:rsid w:val="7EB37D0E"/>
    <w:rsid w:val="7EE36A72"/>
    <w:rsid w:val="7F4D2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autoRedefine/>
    <w:semiHidden/>
    <w:qFormat/>
    <w:uiPriority w:val="0"/>
  </w:style>
  <w:style w:type="table" w:default="1" w:styleId="8">
    <w:name w:val="Normal Table"/>
    <w:autoRedefine/>
    <w:semiHidden/>
    <w:uiPriority w:val="0"/>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Body Text Indent"/>
    <w:basedOn w:val="1"/>
    <w:uiPriority w:val="0"/>
    <w:pPr>
      <w:spacing w:after="120"/>
      <w:ind w:left="420" w:leftChars="200"/>
    </w:pPr>
  </w:style>
  <w:style w:type="paragraph" w:styleId="4">
    <w:name w:val="Plain Text"/>
    <w:basedOn w:val="1"/>
    <w:uiPriority w:val="0"/>
    <w:rPr>
      <w:rFonts w:ascii="宋体" w:hAnsi="Courier New" w:eastAsia="楷体_GB2312"/>
      <w:sz w:val="26"/>
      <w:szCs w:val="20"/>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2"/>
    <w:basedOn w:val="3"/>
    <w:autoRedefine/>
    <w:qFormat/>
    <w:uiPriority w:val="0"/>
    <w:pPr>
      <w:ind w:firstLine="420" w:firstLineChars="200"/>
    </w:pPr>
  </w:style>
  <w:style w:type="paragraph" w:styleId="10">
    <w:name w:val="List Paragraph"/>
    <w:basedOn w:val="1"/>
    <w:qFormat/>
    <w:uiPriority w:val="34"/>
    <w:pPr>
      <w:ind w:firstLine="420" w:firstLineChars="200"/>
    </w:pPr>
    <w:rPr>
      <w:rFonts w:ascii="Calibri" w:hAnsi="Calibri"/>
      <w:szCs w:val="22"/>
    </w:rPr>
  </w:style>
  <w:style w:type="paragraph" w:customStyle="1" w:styleId="11">
    <w:name w:val="a"/>
    <w:basedOn w:val="1"/>
    <w:autoRedefine/>
    <w:qFormat/>
    <w:uiPriority w:val="0"/>
    <w:pPr>
      <w:autoSpaceDE w:val="0"/>
      <w:autoSpaceDN w:val="0"/>
      <w:adjustRightInd w:val="0"/>
      <w:spacing w:line="440" w:lineRule="atLeast"/>
      <w:ind w:firstLine="480"/>
      <w:jc w:val="left"/>
    </w:pPr>
    <w:rPr>
      <w:rFonts w:hint="eastAsia" w:ascii="仿宋_GB2312" w:hAnsi="Calibri" w:eastAsia="仿宋_GB2312"/>
      <w:color w:val="000000"/>
      <w:sz w:val="24"/>
      <w:szCs w:val="22"/>
      <w:lang w:val="zh-CN"/>
    </w:rPr>
  </w:style>
  <w:style w:type="character" w:customStyle="1" w:styleId="12">
    <w:name w:val="font11"/>
    <w:basedOn w:val="9"/>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2023-12-07T08:50:00Z</dcterms:created>
  <dc:creator>Administrator</dc:creator>
  <cp:lastModifiedBy>suky</cp:lastModifiedBy>
  <dcterms:modified xsi:type="dcterms:W3CDTF">2024-01-15T07:00:09Z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1E725616A8BE4C2CBBCD24B8D559EF62_12</vt:lpwstr>
  </property>
</Properties>
</file>