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仿宋" w:hAnsi="仿宋" w:eastAsia="仿宋" w:cs="仿宋"/>
          <w:b/>
          <w:bCs/>
          <w:sz w:val="28"/>
          <w:szCs w:val="36"/>
          <w:lang w:val="en-US" w:eastAsia="zh-CN"/>
        </w:rPr>
      </w:pPr>
      <w:r>
        <w:rPr>
          <w:rFonts w:hint="eastAsia" w:ascii="仿宋" w:hAnsi="仿宋" w:eastAsia="仿宋" w:cs="仿宋"/>
          <w:b/>
          <w:bCs/>
          <w:sz w:val="28"/>
          <w:szCs w:val="36"/>
          <w:lang w:val="en-US" w:eastAsia="zh-CN"/>
        </w:rPr>
        <w:t>附件2：</w:t>
      </w:r>
    </w:p>
    <w:p>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消防系统维护保养服务需求书</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xml:space="preserve"> 一、项目要求概述：</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为确保我院消防设备、设施维护保养检测等项目完好有效的正常运转，现根据广东省公安厅关于依法开展消防设施维护保养检测技术服务工作的通知规定，根据《中华人民共和国消防法》、《建设工程消防监督管理规定》、（公安部令第119号）《社会消防技术服务管理规定》、（应急管理部令第7号）、《广东省实施&lt;中华人民共和国消防法&gt;办法》和《广东省人民政府办公厅关于印发广东省消防安全重点单位管理规定的通知》要求,服务方必须持有营业执照、消防技术服务机构资质证书或</w:t>
      </w:r>
      <w:r>
        <w:rPr>
          <w:rFonts w:hint="eastAsia" w:ascii="仿宋" w:hAnsi="仿宋" w:eastAsia="仿宋" w:cs="仿宋"/>
          <w:b w:val="0"/>
          <w:bCs w:val="0"/>
          <w:sz w:val="28"/>
          <w:szCs w:val="36"/>
          <w:highlight w:val="none"/>
          <w:lang w:val="en-US" w:eastAsia="zh-CN"/>
        </w:rPr>
        <w:t>社会消防技术服务信息系统备案信息</w:t>
      </w:r>
      <w:r>
        <w:rPr>
          <w:rFonts w:hint="eastAsia" w:ascii="仿宋" w:hAnsi="仿宋" w:eastAsia="仿宋" w:cs="仿宋"/>
          <w:b w:val="0"/>
          <w:bCs w:val="0"/>
          <w:sz w:val="28"/>
          <w:szCs w:val="36"/>
          <w:lang w:val="en-US" w:eastAsia="zh-CN"/>
        </w:rPr>
        <w:t>、才有资格对我院（桥北路10号院区：1号楼、2号楼（旧国医楼）、3号楼（旧住院大楼、旧急诊大楼、旧门诊大楼）、中医文化主题公园的消防系统维护保养项目进行院内投标。</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本次项目范围：为清远市中医院（桥北路10号院区）消防系统维护保养项目工程，包括消防设备的日常维护、定期保养、故障修复、应用支持等项目保修服务。</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合同期采用1+1方式（服务质量好、维保工作效率高、重合同守信用）</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二、需求描述：</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托管维保消防范围的面积如下：1号楼51250平方米、3号楼（门诊楼7299.65平方米、急诊楼6432.42平方米、住院大楼13331.15平方米）、2号楼旧国医楼5433.23平方米、中医文化主题公园10477.73平方米。</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（一）、设备维护保养清单</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中标人按照国家现行的有关消防维修保养规范对消防设施进行系统、全面的维护和保养。以下所列消防系统的相关数据仅供投标人作报价参考。</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消防系统包括：火灾自动报警系统（含联动控制盘、消防广播、消防电话、消防电梯联动、非消防电源切换的联动）、消防电源及应急照明、疏散指示系统（含应急照明灯、疏散指示灯等）、室内外消火栓系统（含消防水池、消防水箱、水泵的控制柜、水泵的控制箱）、自动喷水灭火系统（含水泵的控制柜、水泵的控制箱）、防排烟系统（含风机的控制柜、风机的双电源供电控制箱）、防火门系统、防火卷帘系统、气体灭火系统（含空调、排气管道的防火阀）、建筑火灾逃生避难器材；火警处理等。</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 xml:space="preserve">   说明：上述为全院基本维护保养项目，实际维护保养包括上述所有细项但不限于上述项目。</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（二）、消防系统维护保养方式</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全年不休。中标人在接到用户方通知后，工作时间必须在2小时内，其余时间（包括节假日）须在8小时内派员到场检修排除故障。中标人如不按时到场排除故障的，每次扣除1000元，因此而引起的事故的一切责任由中标人负责（不可抗拒的自然灾害引起的事故除外）。紧急故障报修1小时内赶至现场。</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（三）、消防系统维保的服务要求：</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1、消防设备设施的完好率：中标人必须确保消防设备100%的完好率。</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维护保养的工作内容：中标人要在保证消防设备100%完好率的目标下，按不低于招标文件中“维护保养的工作内容”完成消防系统维护保养工作；工作具体的标准按采购人的有关要求为依据，且必须符合有关的消防规范及设备保养的要求，如招标文件中“维护保养的工作内容”中有漏项或标准不高的情况，中标人要负责完善；合同期内，中标人不能以此为理由来推卸不能保证消防设备100%完好率的责任。</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3、故障响应时间：接到故障报修后，工作人员必须在10分钟内响应。</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4、故障的处理：故障应在24小时内予以排除；如由于特殊原因而不能按期排除，必须以书面形式报清远市中医院主管部门；如因常用的备件不足而导致故障不能按期排除的，按未能按期排除的情况处罚。</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5、《消防系统维保的扣分标准》：医院主管部门将按《消防系统维保的扣分标准》对中标人的维保工作质量进行监督检查，并依据此标准对中标人进行处罚。</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医院装修改造工程的消防监督管理：中标人要参与涉及消防系统二次装修改造工程的监督工作，不管是否由中标人施工，在二次装修工程过程中，中标人都要跟进了解、协调。竣工后，中标人要参与内部验收并提出专业意见，在验收报告中签名确认。如由于二次装修引起的系统故障，中标人要书面报医院主管部门，并要协调施工单位进行整改。</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维保工作的各种记录文件或表格：中标人应根据维保具体工作的需要编制巡查、保养、检测、故障排除、年度计划、月度计划、月度报告、年度报告等记录文件或表格，相关记录文件、表格要按规定及时上交医院保卫部门审核，并将作为付款的依据。</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8、消防监督部门的检查、检测：中标人必须保证医院通过消防监督部门的涉及消防系统方面的防火检查及建筑消防设施年度检测工作,如因维保工作原因未能通过年度消防检测及消防部门组织的防火检查，则必须进行整改直至通过检查或检测，因此而产生的费用(包括相关部门的罚款等)由中标人负责承担。</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9、消防演习：中标人负责编制符合医院实际的消防演习方案，并要参与协助做好有关消防演习。</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10、中标人在采购人地点工作期间，须遵守甲方管理制度，服从采购人人员管理。中标人工作人员在采购人单位工作期间，必须严格遵守采购人的规章制度，做到文明施工，确保安全、可靠，并保持通讯畅通。因中标人维修保养质量所引起的一切事故责任由乙方承担。</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11、保养期满，中标人必须保证将所保养的设备完好，无故障并通过有关检测，门检测合格后交回清远市中医院。</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（四）投标人资质要求及维保人员的要求：</w:t>
      </w:r>
    </w:p>
    <w:p>
      <w:pPr>
        <w:ind w:firstLine="560" w:firstLineChars="200"/>
        <w:rPr>
          <w:rFonts w:hint="eastAsia" w:ascii="仿宋" w:hAnsi="仿宋" w:eastAsia="仿宋" w:cs="仿宋"/>
          <w:b w:val="0"/>
          <w:bCs w:val="0"/>
          <w:sz w:val="28"/>
          <w:szCs w:val="36"/>
          <w:highlight w:val="none"/>
          <w:lang w:val="en-US" w:eastAsia="zh-CN"/>
        </w:rPr>
      </w:pPr>
      <w:r>
        <w:rPr>
          <w:rFonts w:hint="eastAsia" w:ascii="仿宋" w:hAnsi="仿宋" w:eastAsia="仿宋" w:cs="仿宋"/>
          <w:b w:val="0"/>
          <w:bCs w:val="0"/>
          <w:sz w:val="28"/>
          <w:szCs w:val="36"/>
          <w:highlight w:val="none"/>
          <w:lang w:val="en-US" w:eastAsia="zh-CN"/>
        </w:rPr>
        <w:t>投标人资质要求：</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（1）具备独立的法人资格的企业实体，拒绝联合体。</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（2）投标人需具备消防技术服务机构资质证书或</w:t>
      </w:r>
      <w:r>
        <w:rPr>
          <w:rFonts w:hint="eastAsia" w:ascii="仿宋" w:hAnsi="仿宋" w:eastAsia="仿宋" w:cs="仿宋"/>
          <w:b w:val="0"/>
          <w:bCs w:val="0"/>
          <w:sz w:val="28"/>
          <w:szCs w:val="36"/>
          <w:highlight w:val="none"/>
          <w:lang w:val="en-US" w:eastAsia="zh-CN"/>
        </w:rPr>
        <w:t>社会消防技术服务信息系统备案信息</w:t>
      </w:r>
      <w:r>
        <w:rPr>
          <w:rFonts w:hint="eastAsia" w:ascii="仿宋" w:hAnsi="仿宋" w:eastAsia="仿宋" w:cs="仿宋"/>
          <w:b w:val="0"/>
          <w:bCs w:val="0"/>
          <w:sz w:val="28"/>
          <w:szCs w:val="36"/>
          <w:lang w:val="en-US" w:eastAsia="zh-CN"/>
        </w:rPr>
        <w:t>的资格，拟派项目经理须</w:t>
      </w:r>
      <w:r>
        <w:rPr>
          <w:rFonts w:hint="eastAsia" w:ascii="仿宋" w:hAnsi="仿宋" w:eastAsia="仿宋" w:cs="仿宋"/>
          <w:b w:val="0"/>
          <w:bCs w:val="0"/>
          <w:sz w:val="28"/>
          <w:szCs w:val="36"/>
          <w:highlight w:val="none"/>
          <w:lang w:val="en-US" w:eastAsia="zh-CN"/>
        </w:rPr>
        <w:t>具有相关消防专业证书文件</w:t>
      </w:r>
      <w:r>
        <w:rPr>
          <w:rFonts w:hint="eastAsia" w:ascii="仿宋" w:hAnsi="仿宋" w:eastAsia="仿宋" w:cs="仿宋"/>
          <w:b w:val="0"/>
          <w:bCs w:val="0"/>
          <w:sz w:val="28"/>
          <w:szCs w:val="36"/>
          <w:lang w:val="en-US" w:eastAsia="zh-CN"/>
        </w:rPr>
        <w:t>，近三年内做过类似项目业绩。</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（3）维保公司应</w:t>
      </w:r>
      <w:r>
        <w:rPr>
          <w:rFonts w:hint="eastAsia" w:ascii="仿宋" w:hAnsi="仿宋" w:eastAsia="仿宋" w:cs="仿宋"/>
          <w:b w:val="0"/>
          <w:bCs w:val="0"/>
          <w:sz w:val="28"/>
          <w:szCs w:val="36"/>
          <w:highlight w:val="none"/>
          <w:lang w:val="en-US" w:eastAsia="zh-CN"/>
        </w:rPr>
        <w:t>提供维保人员（2人以上）</w:t>
      </w:r>
      <w:r>
        <w:rPr>
          <w:rFonts w:hint="eastAsia" w:ascii="仿宋" w:hAnsi="仿宋" w:eastAsia="仿宋" w:cs="仿宋"/>
          <w:b w:val="0"/>
          <w:bCs w:val="0"/>
          <w:sz w:val="28"/>
          <w:szCs w:val="36"/>
          <w:lang w:val="en-US" w:eastAsia="zh-CN"/>
        </w:rPr>
        <w:t>的消防设备设施操作资格证书文件。</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（4）提供</w:t>
      </w:r>
      <w:r>
        <w:rPr>
          <w:rFonts w:hint="eastAsia" w:ascii="仿宋" w:hAnsi="仿宋" w:eastAsia="仿宋" w:cs="仿宋"/>
          <w:b w:val="0"/>
          <w:bCs w:val="0"/>
          <w:sz w:val="28"/>
          <w:szCs w:val="36"/>
          <w:highlight w:val="none"/>
          <w:lang w:val="en-US" w:eastAsia="zh-CN"/>
        </w:rPr>
        <w:t>相应的、符合标准的检测设备和仪表设备清单。</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（5）三年来无工程质量缺陷（提供信用中国证明文件或说明文件）。</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维保人员要求：</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1、项目经理：大专以上学历、具三年以上的消防系统维修保养的工作经验。</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w:t>
      </w:r>
      <w:r>
        <w:rPr>
          <w:rFonts w:hint="eastAsia" w:ascii="仿宋" w:hAnsi="仿宋" w:eastAsia="仿宋" w:cs="仿宋"/>
          <w:b w:val="0"/>
          <w:bCs w:val="0"/>
          <w:sz w:val="28"/>
          <w:szCs w:val="36"/>
          <w:highlight w:val="none"/>
          <w:lang w:val="en-US" w:eastAsia="zh-CN"/>
        </w:rPr>
        <w:t>其他人员</w:t>
      </w:r>
      <w:r>
        <w:rPr>
          <w:rFonts w:hint="eastAsia" w:ascii="仿宋" w:hAnsi="仿宋" w:eastAsia="仿宋" w:cs="仿宋"/>
          <w:b w:val="0"/>
          <w:bCs w:val="0"/>
          <w:sz w:val="28"/>
          <w:szCs w:val="36"/>
          <w:lang w:val="en-US" w:eastAsia="zh-CN"/>
        </w:rPr>
        <w:t>（除文员外）：持有消防监督部门认可的自动消防系统操作上岗证（2人以上），具有两年以上的消防系统维修保养的工作经验。</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3、投标人必须在投标文件中详细列明服务人员的名单及履历资历证明文件。</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（五）维护保养具体工作内容：</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1、火灾自动报警与消防联动控制系统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（1）检查烟感、温感、探头是否完好。（每月）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（2）检查手动报警按钮是否变形，玻璃有无破损。（每月）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（3）巡检火灾自动报警控制器、显示器的功能。（每日）</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（4）巡检探测器、手动报警按钮或破玻功能。（每月）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（5）及时更换损坏或丢失的探头、按钮玻璃等。</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（6）进行火灾模拟试验，采用喷烟雾或磁石测试，抽查不少于5%的探头及5%的手动报警钮、玻璃按钮。（每月）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（7）检查火警时在自动状态下能否及时准确显示报警地址、类型和发出警报（警铃呜响）。（每季）</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（8）检查火警时在自动状态下能否准确联动相关消防设备，如：起动消防栓泵、喷淋泵、打开风阀、联动风机、关闭防火门、接通广播、启动警铃、电梯迫降等。（每月）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（9）检查火警时，消防中心能否接收到各设备动作后的反馈信号。（每月）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（10）每月对报警控制器、各楼层消防控制线路接线箱、联动控制柜进行清洁保养。</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（11）每季度对报警控制器、各楼层消防控制线路接线箱、联动控制柜、通讯主机内电器元件进行清洁保养。</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（12）每年对备用电源进行1～2次充放电试验，1～3次主电源和备用电源切换试验。检查内容包括：消防联动控制柜、消防主机、通讯主机、CRT平面显示系统。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（13）半年进行一次强切非消防电源功能试验。</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（14）定期对火灾探测器清洁一次。</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（15）每年按规定的比例，对系统各设备进行一次检测。</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上述工作均按工程程序进行记录存档。</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2、消火栓、自动喷淋灭火系统。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（1）检查消火栓箱及配置的消防部件，外观是否破损，涂层有无脱落，周围有无障碍物。（每月）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（2）检查箱内消防水枪、水带、消防卷盘及全部附件是否齐全、良好；水带是否霉烂，水枪内是否有杂物，消火栓水带水枪接口处的密封是否老化，水带是否有漏水现象及转动有无灵活。（每月）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（3）检查减压阀高、低压端压力表读数是否处于正常范围。（每月）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（4）检查消防栓管道上各阀门是否处于正确的位置，管道接口及阀门是否有漏水和锈蚀现象。（每月）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（5）检查贮水池储水量是否满足要求。（每月）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（6）启动各台消防泵，试验运行。试验完毕后，在最不利的消防栓放水，观察其出水压力及流量是否足够。（每月）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（7）检查消火栓水泵接合器，保证接口完好、无渗漏，检查密封垫是否老化。（每月）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（8）检查消防中心、现场水泵房及消防水泵控制柜线路。（每月）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（9）检查和测试消防栓系统和喷淋系统的自动满载运行状况。（每月）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（10）在正常情况下，维护管理人员定期应对进水阀、报警阀进行外观检查并应保证系统处于无故障状态。（每月）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（11）检查喷淋管道上各阀门是否处于正确位置。（每月）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（12）检查喷淋水泵接合器的接口及附件，并保证接口完好、无渗漏，检查密封垫是否老化。（每月）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（13）启动稳压泵，观察压力上升是否正常，消防控制中心能否显示其动作信号，人工放水观察稳压泵自动起动和停止后的压力是否正常。（每月）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（14）检查消防泵和喷淋泵启动时，消防控制中心能否显示其动作信号，自动状态时，消防控制中心能否控制其启动和停止。（每月）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（15）每月对消火栓箱及水泵控制柜和水泵控制柜内元件进行清洁保养。</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（16）定期清洗减压阀、止回阀及给所有水泵各种转轴的连动构件进行清洁润滑保养。</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（17）检查消防水池、消防水箱及消防气压给水设备，并检查其消防储备水位。更换前需书面通知用户方。</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（18）消火栓和消防水带供水阀不应有渗漏现象。</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（19）报警按钮、指示灯及控制线路功能正常，无故障。</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（20）每年应对消防储水设备进行检查，修补缺损和重新油漆。</w:t>
      </w:r>
      <w:r>
        <w:rPr>
          <w:rFonts w:hint="eastAsia" w:ascii="仿宋" w:hAnsi="仿宋" w:eastAsia="仿宋" w:cs="仿宋"/>
          <w:b w:val="0"/>
          <w:bCs w:val="0"/>
          <w:sz w:val="28"/>
          <w:szCs w:val="36"/>
          <w:lang w:val="en-US" w:eastAsia="zh-CN"/>
        </w:rPr>
        <w:tab/>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（21）钢板消防水箱和气压给水设备的玻璃水位计，两端的角阀，在不进行水位观察时应关闭。</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22）对喷头进行巡检检查，发现有不正常的喷头应及时更换。当喷头上有异物时，应及时清除。更换或安装喷头应使用专用扳手和各种不同规格的喷头均应有一定数量的备用品，其数量不应少于安装数量的1%，且每种喷头的数量不应少于10个。</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管路：检查系统管路有无腐蚀渗漏，湿式系统管路内的水应定期排空、冲洗。</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（23）检查和测试消防水泵及喷淋水泵，包括所有消防加压泵模拟火灾状态进行联动控制。（每月）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（24）启、闭信号阀，检查消防控制中心能否收到其关闭信号并显示所在位置。（每月）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（25）在各楼层进行试放水一次，检查以下内容：（每月）</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（a）该楼层水流指示器是否动作，动作时消防控制中心能否收到其报警信号并显示所在位置。</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（b）该楼层对应的湿式报警阀是否动作。</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（c）湿式报警阀动作时上、下腔压力是否正常。</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（d）湿式报警阀动作时，水力警铃是否报警，铃声是否响亮，能否达到报警效果。</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（e）湿式报警阀动作时，压力开关是否动作，动作时消防控制中心能否收到其报警信号并显示所在位置。</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（26）试验水流指示器、压力开关等报警功能、信号显示。（每月）</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（a）水流指示器、管阀、信号阀、试验闸阀放水，检查主机是否有报警信号。</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（b）在湿式报警阀试水装置处放水，报警阀应及时动作，水力警铃应发出报警信号，压力开关接通电路报警，电控柜及联动控制柜处于“自动”状态时应启动消防泵。</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（27）启动稳压泵，观察其动作时管网压力是否正常。消防控制中心能否显示其动作信号。（每月）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（28）检查喷淋泵启动时，消防控制中心能否显示其动作信号。（每月）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（29）检查喷淋泵启动时，出口压力是否正常。（每月）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（30）手动启动各台喷淋泵，试验运行。（每月）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（31）定期清洗湿式报警阀。（每季度）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（32）每年应对水源的供水能力进行一次检测。</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（33）每年对系统进行一次检测。</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上述工作均按工作程序进行记录存档。</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3、防火卷帘系统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（1）检查卷帘导轨有无变形锈蚀，周围有无影响使用的障碍物。（每月）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（2）检查手控按钮箱是否完好。（每月）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（3）检查卷帘电源、控制器是否正常。（每月）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（4）对卷帘试验一次，检查卷帘下降、上升是否正常。（每月）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（5）对齿轮轴等传动机构进行润滑处理一次。（每季度）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（6）进行手动操作启动装置，试验每台防火卷帘工作状态，并检查以下项目：（每月）</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（a）手动或联动（自动）能否完成降闸控制。</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（b）升、降闸是否顺畅，到达上下限位置是否准确。</w:t>
      </w:r>
    </w:p>
    <w:p>
      <w:pPr>
        <w:ind w:firstLine="840" w:firstLineChars="3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（c）升降时有无异常杂声或振动。</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（7）检查和测试所有防火卷帘门的控制线路，并进行除尘保养。（每月）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（8）检查和测试所有防火卷帘的转动装置和远程控制装置。（每月）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（9）检查和测试传动电机性能，并对电机轴承及联动构件加油脂。（每月）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（10）检查和调整传动构件，包括轨道、应急操作拉链进行润滑保养。（每月）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（11）对防火卷帘箱顶进行除尘保养。（每月）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（12）每年对系统进行一次检测。</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上述工作均按工作程序进行记录存档。</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4、防火门系统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（1）巡检防火门开闭是否正常。（每日）</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（2）检查防火门有无变形锈蚀，周围有无影响使用的障碍物。（每月）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（3）检查防火门电源，释放电磁吸，闭门器是否正常。（每月）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（4）检查闭门器，加润滑油，电动防火门检查联动功能。（每月）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（5）进行手动或模拟火灾联动（或消防中心遥控）操作启动装置，试验每台防火门的工作状态。（每月）</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5、消防通风和防排烟系统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（1）检查送风口、排烟口有无变形、损伤，周围有无影响使用的障碍物。（每月）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（2）对现场风机控制箱、正压送风机和消防排烟风机进行检查测试。（每季度）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（3）对正压送风阀、排烟阀、防火阀进行检查测试。（每月）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（4）检查风机与排烟连接部位的法兰有无损伤，螺栓是否松动（每月）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（5）检查送风机、排烟风机周围有无可燃物，安装螺栓是否松动、损伤，传动机构是否变形、损伤，叶轮有无刮壳现象。（每月）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（6）检查送风风机、排烟风机的电动机的接线是否松动，传动皮带是否正常，转动部件是否正常并加注润滑油。风机的外壳有无腐蚀现象，电源的供电是否正常。（每月）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（7）启动送风（排烟）风机，检查风机运转是否正常。（每月）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（8）巡视排烟阀（口）、送风阀（口）保养情况，抽查手动开启（在非联动状态下）的信号反馈及复位情况。</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（9）对排烟阀（口）及送风阀（口）体、风机电控柜进行清洁保养。（每月）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（10）对排烟阀（口）及送风阀（口）的机械传动、电动机的转轴（含轴承）进行润滑（用户方提供润滑油）。（每月）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（11）对风机电控柜内电器元件进行清洁保养。（每季度）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上述工作均按工作程序进行记录存档。</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6、电梯的联动检查</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（1）每季度用自动或手动强制电梯停于首层测试。</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（2）在消防控制中心强制迫降消防电梯时，电梯应能自动降于首层。并巡检电梯在消防控制中心的控制盘。</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7、消防水泵系统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（1）检查消防水池、消防恒压气压给水设备，检查消防储备水位及消防恒压气压给水设备水量和水压是否正常，检查各种阀门是否处于正常状态，发现故障应及时进行处理。（每月）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（2）检查吸水环管及阀门是否有漏水和锈蚀现象，检查水泵吸入和输出管道上各阀门是否处于正确的位置（每月）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（3）转动各水泵转子，检查转子转动是否灵活。（每月）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（4）检查双回路电源自动控制柜切换是否正常，相序是否一致。（每月）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（5）检查水泵控制柜电源电压及指示灯是否正常。（每月）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（6）打下控制柜电源总开关，检测控制柜二次回路，检查万能转换开关、按钮、指示灯是否正常，手动或自动模拟起泵，测试起泵时是否正常，检查接触器，继电器分合是否正常。（每月）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（7）手动起动各台泵，测量（或看面板上的电流表）水泵电动机的起动和运行电流是否正常。（每月）</w:t>
      </w:r>
      <w:r>
        <w:rPr>
          <w:rFonts w:hint="eastAsia" w:ascii="仿宋" w:hAnsi="仿宋" w:eastAsia="仿宋" w:cs="仿宋"/>
          <w:b w:val="0"/>
          <w:bCs w:val="0"/>
          <w:sz w:val="28"/>
          <w:szCs w:val="36"/>
          <w:lang w:val="en-US" w:eastAsia="zh-CN"/>
        </w:rPr>
        <w:tab/>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（8）手动启动水泵，检查水泵能否正常运转，压力能否保证。（每月）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（9）模拟火警状态下，检查其中一台泵故障时自动切换备用泵是否正常。（每月）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（10）模拟火警状态下，检查在消防控制中心能否控制各台泵的起动和停止。检查水泵启动时，消防控制中心能否显示动作信号。（每月）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上述工作均按工作程序进行记录存档。</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8、消防事故广播系统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（1）检查功放机工作是否正常。（每月）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（2）检查麦克风播音是否正常。（每月）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（3）检查天花喇叭、挂墙音箱有无脱落。（每月）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（4）检查喇叭、音箱音量是否正常、清晰。（每月）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（5）模拟火灾事故情况下，消防广播是否动作。（每月）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上述工作均按工作程序进行记录存档。</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9、消防对讲电话系统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（1）检查插孔及固定话机是否齐全。（每月）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（2）现场对消防中心之间进行通话试验，通话质量是否符合要求。（每月）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（3）确保对讲电话通话清晰。（每月）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上述工作均按工作程序进行记录存档。</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10、气体灭火系统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（1）检查设备有否碰损伤、堵塞、固定牢靠。（每月）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（2）检查设备就位是否正常。（每月）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（3）检查设备工作状态正常与否。（每月）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（4）管网、设备有否泄漏现象。（每月）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（5）线路连线、仪表指示正常与否。（每月）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对灭火剂贮存容器、选择阀、液体单向阀、高压软管、集流管、阀驱动装置、管网与喷嘴等全部系统组件应无碰撞、变形及其他机械损伤，表面应无锈蚀，保护层应完好，铭牌应清晰，手动操作装置的防护罩、铅封和安全标志应完好。</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（7）检查贮存容器压力，确保贮存压力与环境温度相适应，确保贮存器容量满足正常使用要求。（每月）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（8）试验火灾警报装置的声光显示。（每月）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（9）检查所有手、自动转换开关和启动、停止盒功能。（每月）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（10）按规定的办法，对每个防护区进行一次模拟自动启动试验，如有不合格项目，则应对相关防护区进行一次模拟喷气试验。（每季度）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（11）气动驱动装置的气源压力，不应少于设计压力的90%。</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（12）防护区的开口情况，防护区的用途及可燃物的种类、数量、分布情况应符合设计规定。（每季度）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（13）灭火剂贮瓶间设备，灭火剂输送管道和支、吊架的固定应无松动。（每季度）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（14）高压软管应无变形、裂纹及老化。应对选择阀、液体单向阀、高压软管和阀驱动装置中的气体单向阀逐个进行水压强度试验和气压严密性试验。（每季度）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（15）对灭火剂贮存容器进行称重检查，灭火剂净重不应少于设计重量的95%。（每季度）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（16）灭火剂输送管道有损伤与堵塞现象，应对其进行严密性试验和吹扫。（每季度）</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（17）每月对系统控制器进行清洁；每年对系统控制器内电器元件进行清洁保养。</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（18）每季度对手动应急操作装置的转动部位进行添加润滑油。</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（19）对其联动控制设备进行模拟试验，区盘是否动作，消防中心是否有信号显示。</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11、应急疏散指示系统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（1）检查应急灯、疏散指示牌是否齐全。（每月）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（2）检查应急灯、疏散指示牌电池充放电是否正常。（每月）</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12、其他的消防设施保养</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按国家、省、市现行消防设备保养维修质量标准及规范。</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13、检查的相关要求</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（1）月检：每月定期对要求的项目进行检查，检查时间及检查项目按保养计划。</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（2）季检：在月检的同时，增加每季一次的检查项目，项目按保养计划，时间安排在每季度第三个月的第一个星期。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（3）半年检：每半年检查一次的项目，项目按保养计划，时间安排在每半年度最后一个月的第一个星期。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（4）年检：每年检查一次的项目，项目按保养计划，时间安排在每年度最后一个月的第一个星期。</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（5）特殊检查：重大节假日（元旦、春节、五一、国庆）前一个星期内，对主要设备巡视一次，发现问题及时处理。</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报告：中标人必须每月向用户方呈交一份当月的维修保养报告，用户方即按本合同及保养计划要求检查中标人的保养工作，对中标人已完成的保养项目予以确认。如果发现中标人未执行本合同及保养计划，用户方可以要求中标人对未执行项目重新检查及处理，直至完成该部份保养计划内容后予以确认。如在维修保养过程中中标人发现系统或设备存在隐患，中标人应书面向用户方提出处理意见，经用户方同意后方可实施整改。</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（7）保养标准按国家、省、市有关规范标准有关规范标准执行</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14、故障解决</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中标人在接到用户方通知后，工作时间必须在1小时内，其余时间（包括节假日）须在3小时内派员到场检修排除故障。紧急故障报修30分钟内赶至现场。中标人如不按时到场排除故障的，每次扣除合同总价的1‰，因此而引起的事故的一切责任由中标人负责（不可抗拒的自然灾害引起的事故除外）。</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（2）系统无法正常运作或无法达到正常要求的，每次扣除合同总价的1‰，在服务期间，若同一地点出现3次类似情况的，采购人有权解除合同并追究中标人的违约责任。</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15、其它服务要求</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(1)中标人在医院用户现场工作期间，须遵守用户方管理制度，服从用户方人员管理；如带材料出外，需列出明细表并经用户方确认方能带出。</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(2)在服务期内，中标人必须做好其派出的工作人员所需要的安全教育及安全措施，保证工作人员工安全，工作人员在用户方工作范围内发生事故的一切责任由中标人负责。</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(3)维修保养单位需每季定期派出工程师负责对用户消防控制室值班人员进行消防设备日常维护及保养知识培训，提高值班人员对消防设备警报预判或故障排除的应对能力。</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(4)维修保养单位需设24小时应急维修热线。</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(5)中标人对医院消防须进行每日巡查，积极做好消防宣传工作，消除一切火灾隐患；中标人派员到场维护保养应事先通知采购人，中标人技术人员必须持证上岗，如中标人更换维保人员须事先书面通知采购人。</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（六）消防系统维保的扣分标准：</w:t>
      </w:r>
    </w:p>
    <w:p>
      <w:pPr>
        <w:rPr>
          <w:rFonts w:hint="eastAsia" w:ascii="仿宋" w:hAnsi="仿宋" w:eastAsia="仿宋" w:cs="仿宋"/>
          <w:b w:val="0"/>
          <w:bCs w:val="0"/>
          <w:sz w:val="28"/>
          <w:szCs w:val="36"/>
          <w:lang w:val="en-US" w:eastAsia="zh-CN"/>
        </w:rPr>
      </w:pPr>
    </w:p>
    <w:p>
      <w:pPr>
        <w:rPr>
          <w:rFonts w:hint="eastAsia" w:ascii="仿宋" w:hAnsi="仿宋" w:eastAsia="仿宋" w:cs="仿宋"/>
          <w:b w:val="0"/>
          <w:bCs w:val="0"/>
          <w:sz w:val="28"/>
          <w:szCs w:val="36"/>
          <w:lang w:val="en-US" w:eastAsia="zh-CN"/>
        </w:rPr>
      </w:pPr>
    </w:p>
    <w:p>
      <w:pPr>
        <w:rPr>
          <w:rFonts w:hint="eastAsia" w:ascii="仿宋" w:hAnsi="仿宋" w:eastAsia="仿宋" w:cs="仿宋"/>
          <w:b w:val="0"/>
          <w:bCs w:val="0"/>
          <w:sz w:val="28"/>
          <w:szCs w:val="36"/>
          <w:lang w:val="en-US" w:eastAsia="zh-CN"/>
        </w:rPr>
      </w:pPr>
    </w:p>
    <w:tbl>
      <w:tblPr>
        <w:tblStyle w:val="4"/>
        <w:tblpPr w:leftFromText="180" w:rightFromText="180" w:vertAnchor="text" w:horzAnchor="page" w:tblpX="1267" w:tblpY="45"/>
        <w:tblOverlap w:val="never"/>
        <w:tblW w:w="9160" w:type="dxa"/>
        <w:tblInd w:w="0" w:type="dxa"/>
        <w:tblLayout w:type="fixed"/>
        <w:tblCellMar>
          <w:top w:w="0" w:type="dxa"/>
          <w:left w:w="0" w:type="dxa"/>
          <w:bottom w:w="0" w:type="dxa"/>
          <w:right w:w="0" w:type="dxa"/>
        </w:tblCellMar>
      </w:tblPr>
      <w:tblGrid>
        <w:gridCol w:w="80"/>
        <w:gridCol w:w="760"/>
        <w:gridCol w:w="60"/>
        <w:gridCol w:w="5460"/>
        <w:gridCol w:w="60"/>
        <w:gridCol w:w="200"/>
        <w:gridCol w:w="620"/>
        <w:gridCol w:w="60"/>
        <w:gridCol w:w="200"/>
        <w:gridCol w:w="820"/>
        <w:gridCol w:w="60"/>
        <w:gridCol w:w="660"/>
        <w:gridCol w:w="30"/>
        <w:gridCol w:w="30"/>
        <w:gridCol w:w="40"/>
        <w:gridCol w:w="20"/>
      </w:tblGrid>
      <w:tr>
        <w:tblPrEx>
          <w:tblCellMar>
            <w:top w:w="0" w:type="dxa"/>
            <w:left w:w="0" w:type="dxa"/>
            <w:bottom w:w="0" w:type="dxa"/>
            <w:right w:w="0" w:type="dxa"/>
          </w:tblCellMar>
        </w:tblPrEx>
        <w:trPr>
          <w:gridAfter w:val="3"/>
          <w:wAfter w:w="90" w:type="dxa"/>
          <w:trHeight w:val="326" w:hRule="atLeast"/>
        </w:trPr>
        <w:tc>
          <w:tcPr>
            <w:tcW w:w="840" w:type="dxa"/>
            <w:gridSpan w:val="2"/>
            <w:vMerge w:val="restart"/>
            <w:tcBorders>
              <w:top w:val="single" w:color="auto" w:sz="8" w:space="0"/>
              <w:left w:val="single" w:color="auto" w:sz="8" w:space="0"/>
              <w:bottom w:val="nil"/>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序号</w:t>
            </w:r>
          </w:p>
        </w:tc>
        <w:tc>
          <w:tcPr>
            <w:tcW w:w="5520" w:type="dxa"/>
            <w:gridSpan w:val="2"/>
            <w:vMerge w:val="restart"/>
            <w:tcBorders>
              <w:top w:val="single" w:color="auto" w:sz="8" w:space="0"/>
              <w:left w:val="nil"/>
              <w:bottom w:val="nil"/>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检查出来的问题</w:t>
            </w:r>
          </w:p>
        </w:tc>
        <w:tc>
          <w:tcPr>
            <w:tcW w:w="880" w:type="dxa"/>
            <w:gridSpan w:val="3"/>
            <w:vMerge w:val="restart"/>
            <w:tcBorders>
              <w:top w:val="single" w:color="auto" w:sz="8" w:space="0"/>
              <w:left w:val="nil"/>
              <w:bottom w:val="nil"/>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单位</w:t>
            </w:r>
          </w:p>
        </w:tc>
        <w:tc>
          <w:tcPr>
            <w:tcW w:w="1080" w:type="dxa"/>
            <w:gridSpan w:val="3"/>
            <w:vMerge w:val="restart"/>
            <w:tcBorders>
              <w:top w:val="single" w:color="auto" w:sz="8" w:space="0"/>
              <w:left w:val="nil"/>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每单位</w:t>
            </w:r>
          </w:p>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所扣分</w:t>
            </w:r>
          </w:p>
        </w:tc>
        <w:tc>
          <w:tcPr>
            <w:tcW w:w="720" w:type="dxa"/>
            <w:gridSpan w:val="2"/>
            <w:tcBorders>
              <w:top w:val="single" w:color="auto" w:sz="8" w:space="0"/>
              <w:left w:val="nil"/>
              <w:bottom w:val="nil"/>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30" w:type="dxa"/>
            <w:tcBorders>
              <w:top w:val="nil"/>
              <w:left w:val="nil"/>
              <w:bottom w:val="nil"/>
              <w:right w:val="nil"/>
            </w:tcBorders>
            <w:vAlign w:val="center"/>
          </w:tcPr>
          <w:p>
            <w:pPr>
              <w:spacing w:line="240" w:lineRule="auto"/>
              <w:jc w:val="center"/>
              <w:rPr>
                <w:rFonts w:hint="eastAsia" w:ascii="仿宋" w:hAnsi="仿宋" w:eastAsia="仿宋" w:cs="仿宋"/>
                <w:color w:val="auto"/>
                <w:sz w:val="28"/>
                <w:szCs w:val="28"/>
              </w:rPr>
            </w:pPr>
          </w:p>
        </w:tc>
      </w:tr>
      <w:tr>
        <w:tblPrEx>
          <w:tblCellMar>
            <w:top w:w="0" w:type="dxa"/>
            <w:left w:w="0" w:type="dxa"/>
            <w:bottom w:w="0" w:type="dxa"/>
            <w:right w:w="0" w:type="dxa"/>
          </w:tblCellMar>
        </w:tblPrEx>
        <w:trPr>
          <w:gridAfter w:val="3"/>
          <w:wAfter w:w="90" w:type="dxa"/>
          <w:trHeight w:val="178" w:hRule="atLeast"/>
        </w:trPr>
        <w:tc>
          <w:tcPr>
            <w:tcW w:w="840" w:type="dxa"/>
            <w:gridSpan w:val="2"/>
            <w:vMerge w:val="continue"/>
            <w:tcBorders>
              <w:top w:val="nil"/>
              <w:left w:val="single" w:color="auto" w:sz="8" w:space="0"/>
              <w:bottom w:val="nil"/>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5520" w:type="dxa"/>
            <w:gridSpan w:val="2"/>
            <w:vMerge w:val="continue"/>
            <w:tcBorders>
              <w:top w:val="nil"/>
              <w:left w:val="nil"/>
              <w:bottom w:val="nil"/>
              <w:right w:val="single" w:color="auto" w:sz="8" w:space="0"/>
            </w:tcBorders>
            <w:vAlign w:val="center"/>
          </w:tcPr>
          <w:p>
            <w:pPr>
              <w:spacing w:line="240" w:lineRule="auto"/>
              <w:jc w:val="left"/>
              <w:rPr>
                <w:rFonts w:hint="eastAsia" w:ascii="仿宋" w:hAnsi="仿宋" w:eastAsia="仿宋" w:cs="仿宋"/>
                <w:color w:val="auto"/>
                <w:sz w:val="28"/>
                <w:szCs w:val="28"/>
              </w:rPr>
            </w:pPr>
          </w:p>
        </w:tc>
        <w:tc>
          <w:tcPr>
            <w:tcW w:w="880" w:type="dxa"/>
            <w:gridSpan w:val="3"/>
            <w:vMerge w:val="continue"/>
            <w:tcBorders>
              <w:top w:val="nil"/>
              <w:left w:val="nil"/>
              <w:bottom w:val="nil"/>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1080" w:type="dxa"/>
            <w:gridSpan w:val="3"/>
            <w:vMerge w:val="continue"/>
            <w:tcBorders>
              <w:left w:val="nil"/>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720" w:type="dxa"/>
            <w:gridSpan w:val="2"/>
            <w:tcBorders>
              <w:top w:val="nil"/>
              <w:left w:val="nil"/>
              <w:bottom w:val="nil"/>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30" w:type="dxa"/>
            <w:tcBorders>
              <w:top w:val="nil"/>
              <w:left w:val="nil"/>
              <w:bottom w:val="nil"/>
              <w:right w:val="nil"/>
            </w:tcBorders>
            <w:vAlign w:val="center"/>
          </w:tcPr>
          <w:p>
            <w:pPr>
              <w:spacing w:line="240" w:lineRule="auto"/>
              <w:jc w:val="center"/>
              <w:rPr>
                <w:rFonts w:hint="eastAsia" w:ascii="仿宋" w:hAnsi="仿宋" w:eastAsia="仿宋" w:cs="仿宋"/>
                <w:color w:val="auto"/>
                <w:sz w:val="28"/>
                <w:szCs w:val="28"/>
              </w:rPr>
            </w:pPr>
          </w:p>
        </w:tc>
      </w:tr>
      <w:tr>
        <w:tblPrEx>
          <w:tblCellMar>
            <w:top w:w="0" w:type="dxa"/>
            <w:left w:w="0" w:type="dxa"/>
            <w:bottom w:w="0" w:type="dxa"/>
            <w:right w:w="0" w:type="dxa"/>
          </w:tblCellMar>
        </w:tblPrEx>
        <w:trPr>
          <w:gridAfter w:val="3"/>
          <w:wAfter w:w="90" w:type="dxa"/>
          <w:trHeight w:val="279" w:hRule="atLeast"/>
        </w:trPr>
        <w:tc>
          <w:tcPr>
            <w:tcW w:w="840" w:type="dxa"/>
            <w:gridSpan w:val="2"/>
            <w:tcBorders>
              <w:top w:val="nil"/>
              <w:left w:val="single" w:color="auto" w:sz="8" w:space="0"/>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1</w:t>
            </w:r>
          </w:p>
        </w:tc>
        <w:tc>
          <w:tcPr>
            <w:tcW w:w="5520" w:type="dxa"/>
            <w:gridSpan w:val="2"/>
            <w:tcBorders>
              <w:top w:val="nil"/>
              <w:left w:val="nil"/>
              <w:bottom w:val="single" w:color="auto" w:sz="8" w:space="0"/>
              <w:right w:val="single" w:color="auto" w:sz="8" w:space="0"/>
            </w:tcBorders>
            <w:vAlign w:val="center"/>
          </w:tcPr>
          <w:p>
            <w:pPr>
              <w:spacing w:line="24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水系统管网无水</w:t>
            </w:r>
          </w:p>
        </w:tc>
        <w:tc>
          <w:tcPr>
            <w:tcW w:w="880" w:type="dxa"/>
            <w:gridSpan w:val="3"/>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系统</w:t>
            </w:r>
          </w:p>
        </w:tc>
        <w:tc>
          <w:tcPr>
            <w:tcW w:w="1080" w:type="dxa"/>
            <w:gridSpan w:val="3"/>
            <w:tcBorders>
              <w:top w:val="nil"/>
              <w:left w:val="nil"/>
              <w:bottom w:val="single" w:color="auto" w:sz="8" w:space="0"/>
              <w:right w:val="single" w:color="auto" w:sz="8" w:space="0"/>
            </w:tcBorders>
            <w:vAlign w:val="center"/>
          </w:tcPr>
          <w:p>
            <w:pPr>
              <w:spacing w:line="240" w:lineRule="auto"/>
              <w:jc w:val="center"/>
              <w:rPr>
                <w:rFonts w:hint="default" w:ascii="仿宋" w:hAnsi="仿宋" w:eastAsia="仿宋" w:cs="仿宋"/>
                <w:color w:val="auto"/>
                <w:sz w:val="28"/>
                <w:szCs w:val="28"/>
                <w:lang w:val="en-US"/>
              </w:rPr>
            </w:pPr>
            <w:r>
              <w:rPr>
                <w:rFonts w:hint="eastAsia" w:ascii="仿宋" w:hAnsi="仿宋" w:eastAsia="仿宋" w:cs="仿宋"/>
                <w:color w:val="auto"/>
                <w:sz w:val="28"/>
                <w:szCs w:val="28"/>
                <w:lang w:val="en-US" w:eastAsia="zh-CN"/>
              </w:rPr>
              <w:t>10</w:t>
            </w:r>
          </w:p>
        </w:tc>
        <w:tc>
          <w:tcPr>
            <w:tcW w:w="720" w:type="dxa"/>
            <w:gridSpan w:val="2"/>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30" w:type="dxa"/>
            <w:tcBorders>
              <w:top w:val="nil"/>
              <w:left w:val="nil"/>
              <w:bottom w:val="nil"/>
              <w:right w:val="nil"/>
            </w:tcBorders>
            <w:vAlign w:val="center"/>
          </w:tcPr>
          <w:p>
            <w:pPr>
              <w:spacing w:line="240" w:lineRule="auto"/>
              <w:jc w:val="center"/>
              <w:rPr>
                <w:rFonts w:hint="eastAsia" w:ascii="仿宋" w:hAnsi="仿宋" w:eastAsia="仿宋" w:cs="仿宋"/>
                <w:color w:val="auto"/>
                <w:sz w:val="28"/>
                <w:szCs w:val="28"/>
              </w:rPr>
            </w:pPr>
          </w:p>
        </w:tc>
      </w:tr>
      <w:tr>
        <w:tblPrEx>
          <w:tblCellMar>
            <w:top w:w="0" w:type="dxa"/>
            <w:left w:w="0" w:type="dxa"/>
            <w:bottom w:w="0" w:type="dxa"/>
            <w:right w:w="0" w:type="dxa"/>
          </w:tblCellMar>
        </w:tblPrEx>
        <w:trPr>
          <w:gridAfter w:val="3"/>
          <w:wAfter w:w="90" w:type="dxa"/>
          <w:trHeight w:val="350" w:hRule="atLeast"/>
        </w:trPr>
        <w:tc>
          <w:tcPr>
            <w:tcW w:w="840" w:type="dxa"/>
            <w:gridSpan w:val="2"/>
            <w:tcBorders>
              <w:top w:val="nil"/>
              <w:left w:val="single" w:color="auto" w:sz="8" w:space="0"/>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2</w:t>
            </w:r>
          </w:p>
        </w:tc>
        <w:tc>
          <w:tcPr>
            <w:tcW w:w="5520" w:type="dxa"/>
            <w:gridSpan w:val="2"/>
            <w:tcBorders>
              <w:top w:val="nil"/>
              <w:left w:val="nil"/>
              <w:bottom w:val="single" w:color="auto" w:sz="8" w:space="0"/>
              <w:right w:val="single" w:color="auto" w:sz="8" w:space="0"/>
            </w:tcBorders>
            <w:vAlign w:val="center"/>
          </w:tcPr>
          <w:p>
            <w:pPr>
              <w:spacing w:line="24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消防系统瘫痪</w:t>
            </w:r>
          </w:p>
        </w:tc>
        <w:tc>
          <w:tcPr>
            <w:tcW w:w="880" w:type="dxa"/>
            <w:gridSpan w:val="3"/>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系统</w:t>
            </w:r>
          </w:p>
        </w:tc>
        <w:tc>
          <w:tcPr>
            <w:tcW w:w="1080" w:type="dxa"/>
            <w:gridSpan w:val="3"/>
            <w:tcBorders>
              <w:top w:val="nil"/>
              <w:left w:val="nil"/>
              <w:bottom w:val="single" w:color="auto" w:sz="8" w:space="0"/>
              <w:right w:val="single" w:color="auto" w:sz="8" w:space="0"/>
            </w:tcBorders>
            <w:vAlign w:val="center"/>
          </w:tcPr>
          <w:p>
            <w:pPr>
              <w:spacing w:line="240" w:lineRule="auto"/>
              <w:jc w:val="center"/>
              <w:rPr>
                <w:rFonts w:hint="default" w:ascii="仿宋" w:hAnsi="仿宋" w:eastAsia="仿宋" w:cs="仿宋"/>
                <w:color w:val="auto"/>
                <w:sz w:val="28"/>
                <w:szCs w:val="28"/>
                <w:lang w:val="en-US"/>
              </w:rPr>
            </w:pPr>
            <w:r>
              <w:rPr>
                <w:rFonts w:hint="eastAsia" w:ascii="仿宋" w:hAnsi="仿宋" w:eastAsia="仿宋" w:cs="仿宋"/>
                <w:color w:val="auto"/>
                <w:sz w:val="28"/>
                <w:szCs w:val="28"/>
                <w:lang w:val="en-US" w:eastAsia="zh-CN"/>
              </w:rPr>
              <w:t>10</w:t>
            </w:r>
          </w:p>
        </w:tc>
        <w:tc>
          <w:tcPr>
            <w:tcW w:w="720" w:type="dxa"/>
            <w:gridSpan w:val="2"/>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30" w:type="dxa"/>
            <w:tcBorders>
              <w:top w:val="nil"/>
              <w:left w:val="nil"/>
              <w:bottom w:val="nil"/>
              <w:right w:val="nil"/>
            </w:tcBorders>
            <w:vAlign w:val="center"/>
          </w:tcPr>
          <w:p>
            <w:pPr>
              <w:spacing w:line="240" w:lineRule="auto"/>
              <w:jc w:val="center"/>
              <w:rPr>
                <w:rFonts w:hint="eastAsia" w:ascii="仿宋" w:hAnsi="仿宋" w:eastAsia="仿宋" w:cs="仿宋"/>
                <w:color w:val="auto"/>
                <w:sz w:val="28"/>
                <w:szCs w:val="28"/>
              </w:rPr>
            </w:pPr>
          </w:p>
        </w:tc>
      </w:tr>
      <w:tr>
        <w:tblPrEx>
          <w:tblCellMar>
            <w:top w:w="0" w:type="dxa"/>
            <w:left w:w="0" w:type="dxa"/>
            <w:bottom w:w="0" w:type="dxa"/>
            <w:right w:w="0" w:type="dxa"/>
          </w:tblCellMar>
        </w:tblPrEx>
        <w:trPr>
          <w:gridAfter w:val="3"/>
          <w:wAfter w:w="90" w:type="dxa"/>
          <w:trHeight w:val="350" w:hRule="atLeast"/>
        </w:trPr>
        <w:tc>
          <w:tcPr>
            <w:tcW w:w="840" w:type="dxa"/>
            <w:gridSpan w:val="2"/>
            <w:tcBorders>
              <w:top w:val="nil"/>
              <w:left w:val="single" w:color="auto" w:sz="8" w:space="0"/>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3</w:t>
            </w:r>
          </w:p>
        </w:tc>
        <w:tc>
          <w:tcPr>
            <w:tcW w:w="5520" w:type="dxa"/>
            <w:gridSpan w:val="2"/>
            <w:tcBorders>
              <w:top w:val="nil"/>
              <w:left w:val="nil"/>
              <w:bottom w:val="single" w:color="auto" w:sz="8" w:space="0"/>
              <w:right w:val="single" w:color="auto" w:sz="8" w:space="0"/>
            </w:tcBorders>
            <w:vAlign w:val="center"/>
          </w:tcPr>
          <w:p>
            <w:pPr>
              <w:spacing w:line="24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气体贮气瓶无气体或剂量不足</w:t>
            </w:r>
          </w:p>
        </w:tc>
        <w:tc>
          <w:tcPr>
            <w:tcW w:w="880" w:type="dxa"/>
            <w:gridSpan w:val="3"/>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瓶</w:t>
            </w:r>
          </w:p>
        </w:tc>
        <w:tc>
          <w:tcPr>
            <w:tcW w:w="1080" w:type="dxa"/>
            <w:gridSpan w:val="3"/>
            <w:tcBorders>
              <w:top w:val="nil"/>
              <w:left w:val="nil"/>
              <w:bottom w:val="single" w:color="auto" w:sz="8" w:space="0"/>
              <w:right w:val="single" w:color="auto" w:sz="8" w:space="0"/>
            </w:tcBorders>
            <w:vAlign w:val="center"/>
          </w:tcPr>
          <w:p>
            <w:pPr>
              <w:spacing w:line="240" w:lineRule="auto"/>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w:t>
            </w:r>
          </w:p>
        </w:tc>
        <w:tc>
          <w:tcPr>
            <w:tcW w:w="720" w:type="dxa"/>
            <w:gridSpan w:val="2"/>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30" w:type="dxa"/>
            <w:tcBorders>
              <w:top w:val="nil"/>
              <w:left w:val="nil"/>
              <w:bottom w:val="nil"/>
              <w:right w:val="nil"/>
            </w:tcBorders>
            <w:vAlign w:val="center"/>
          </w:tcPr>
          <w:p>
            <w:pPr>
              <w:spacing w:line="240" w:lineRule="auto"/>
              <w:jc w:val="center"/>
              <w:rPr>
                <w:rFonts w:hint="eastAsia" w:ascii="仿宋" w:hAnsi="仿宋" w:eastAsia="仿宋" w:cs="仿宋"/>
                <w:color w:val="auto"/>
                <w:sz w:val="28"/>
                <w:szCs w:val="28"/>
              </w:rPr>
            </w:pPr>
          </w:p>
        </w:tc>
      </w:tr>
      <w:tr>
        <w:tblPrEx>
          <w:tblCellMar>
            <w:top w:w="0" w:type="dxa"/>
            <w:left w:w="0" w:type="dxa"/>
            <w:bottom w:w="0" w:type="dxa"/>
            <w:right w:w="0" w:type="dxa"/>
          </w:tblCellMar>
        </w:tblPrEx>
        <w:trPr>
          <w:gridAfter w:val="3"/>
          <w:wAfter w:w="90" w:type="dxa"/>
          <w:trHeight w:val="350" w:hRule="atLeast"/>
        </w:trPr>
        <w:tc>
          <w:tcPr>
            <w:tcW w:w="840" w:type="dxa"/>
            <w:gridSpan w:val="2"/>
            <w:tcBorders>
              <w:top w:val="nil"/>
              <w:left w:val="single" w:color="auto" w:sz="8" w:space="0"/>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4</w:t>
            </w:r>
          </w:p>
        </w:tc>
        <w:tc>
          <w:tcPr>
            <w:tcW w:w="5520" w:type="dxa"/>
            <w:gridSpan w:val="2"/>
            <w:tcBorders>
              <w:top w:val="nil"/>
              <w:left w:val="nil"/>
              <w:bottom w:val="single" w:color="auto" w:sz="8" w:space="0"/>
              <w:right w:val="single" w:color="auto" w:sz="8" w:space="0"/>
            </w:tcBorders>
            <w:vAlign w:val="center"/>
          </w:tcPr>
          <w:p>
            <w:pPr>
              <w:spacing w:line="24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故障响应时间超过15分钟</w:t>
            </w:r>
          </w:p>
        </w:tc>
        <w:tc>
          <w:tcPr>
            <w:tcW w:w="880" w:type="dxa"/>
            <w:gridSpan w:val="3"/>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次</w:t>
            </w:r>
          </w:p>
        </w:tc>
        <w:tc>
          <w:tcPr>
            <w:tcW w:w="1080" w:type="dxa"/>
            <w:gridSpan w:val="3"/>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w:t>
            </w:r>
          </w:p>
        </w:tc>
        <w:tc>
          <w:tcPr>
            <w:tcW w:w="720" w:type="dxa"/>
            <w:gridSpan w:val="2"/>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30" w:type="dxa"/>
            <w:tcBorders>
              <w:top w:val="nil"/>
              <w:left w:val="nil"/>
              <w:bottom w:val="nil"/>
              <w:right w:val="nil"/>
            </w:tcBorders>
            <w:vAlign w:val="center"/>
          </w:tcPr>
          <w:p>
            <w:pPr>
              <w:spacing w:line="240" w:lineRule="auto"/>
              <w:jc w:val="center"/>
              <w:rPr>
                <w:rFonts w:hint="eastAsia" w:ascii="仿宋" w:hAnsi="仿宋" w:eastAsia="仿宋" w:cs="仿宋"/>
                <w:color w:val="auto"/>
                <w:sz w:val="28"/>
                <w:szCs w:val="28"/>
              </w:rPr>
            </w:pPr>
          </w:p>
        </w:tc>
      </w:tr>
      <w:tr>
        <w:tblPrEx>
          <w:tblCellMar>
            <w:top w:w="0" w:type="dxa"/>
            <w:left w:w="0" w:type="dxa"/>
            <w:bottom w:w="0" w:type="dxa"/>
            <w:right w:w="0" w:type="dxa"/>
          </w:tblCellMar>
        </w:tblPrEx>
        <w:trPr>
          <w:gridAfter w:val="3"/>
          <w:wAfter w:w="90" w:type="dxa"/>
          <w:trHeight w:val="350" w:hRule="atLeast"/>
        </w:trPr>
        <w:tc>
          <w:tcPr>
            <w:tcW w:w="840" w:type="dxa"/>
            <w:gridSpan w:val="2"/>
            <w:tcBorders>
              <w:top w:val="nil"/>
              <w:left w:val="single" w:color="auto" w:sz="8" w:space="0"/>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5</w:t>
            </w:r>
          </w:p>
        </w:tc>
        <w:tc>
          <w:tcPr>
            <w:tcW w:w="5520" w:type="dxa"/>
            <w:gridSpan w:val="2"/>
            <w:tcBorders>
              <w:top w:val="nil"/>
              <w:left w:val="nil"/>
              <w:bottom w:val="single" w:color="auto" w:sz="8" w:space="0"/>
              <w:right w:val="single" w:color="auto" w:sz="8" w:space="0"/>
            </w:tcBorders>
            <w:vAlign w:val="center"/>
          </w:tcPr>
          <w:p>
            <w:pPr>
              <w:spacing w:line="240" w:lineRule="auto"/>
              <w:jc w:val="left"/>
              <w:rPr>
                <w:rFonts w:hint="eastAsia" w:ascii="仿宋" w:hAnsi="仿宋" w:eastAsia="仿宋" w:cs="仿宋"/>
                <w:color w:val="auto"/>
                <w:sz w:val="28"/>
                <w:szCs w:val="28"/>
              </w:rPr>
            </w:pPr>
            <w:r>
              <w:rPr>
                <w:rFonts w:hint="eastAsia" w:ascii="仿宋" w:hAnsi="仿宋" w:eastAsia="仿宋" w:cs="仿宋"/>
                <w:color w:val="auto"/>
                <w:sz w:val="28"/>
                <w:szCs w:val="28"/>
              </w:rPr>
              <w:t>24小时内故障未排除或未排除但未书面上报保卫科</w:t>
            </w:r>
          </w:p>
        </w:tc>
        <w:tc>
          <w:tcPr>
            <w:tcW w:w="880" w:type="dxa"/>
            <w:gridSpan w:val="3"/>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次</w:t>
            </w:r>
          </w:p>
        </w:tc>
        <w:tc>
          <w:tcPr>
            <w:tcW w:w="1080" w:type="dxa"/>
            <w:gridSpan w:val="3"/>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w:t>
            </w:r>
          </w:p>
        </w:tc>
        <w:tc>
          <w:tcPr>
            <w:tcW w:w="720" w:type="dxa"/>
            <w:gridSpan w:val="2"/>
            <w:tcBorders>
              <w:top w:val="nil"/>
              <w:left w:val="nil"/>
              <w:bottom w:val="single" w:color="auto" w:sz="8" w:space="0"/>
              <w:right w:val="single" w:color="auto" w:sz="8" w:space="0"/>
            </w:tcBorders>
            <w:vAlign w:val="center"/>
          </w:tcPr>
          <w:p>
            <w:pPr>
              <w:spacing w:line="240" w:lineRule="auto"/>
              <w:jc w:val="center"/>
              <w:rPr>
                <w:rFonts w:hint="eastAsia" w:ascii="仿宋" w:hAnsi="仿宋" w:eastAsia="仿宋" w:cs="仿宋"/>
                <w:color w:val="auto"/>
                <w:sz w:val="28"/>
                <w:szCs w:val="28"/>
              </w:rPr>
            </w:pPr>
          </w:p>
        </w:tc>
        <w:tc>
          <w:tcPr>
            <w:tcW w:w="30" w:type="dxa"/>
            <w:tcBorders>
              <w:top w:val="nil"/>
              <w:left w:val="nil"/>
              <w:bottom w:val="nil"/>
              <w:right w:val="nil"/>
            </w:tcBorders>
            <w:vAlign w:val="center"/>
          </w:tcPr>
          <w:p>
            <w:pPr>
              <w:spacing w:line="240" w:lineRule="auto"/>
              <w:jc w:val="center"/>
              <w:rPr>
                <w:rFonts w:hint="eastAsia" w:ascii="仿宋" w:hAnsi="仿宋" w:eastAsia="仿宋" w:cs="仿宋"/>
                <w:color w:val="auto"/>
                <w:sz w:val="28"/>
                <w:szCs w:val="28"/>
              </w:rPr>
            </w:pPr>
          </w:p>
        </w:tc>
      </w:tr>
      <w:tr>
        <w:tblPrEx>
          <w:tblCellMar>
            <w:top w:w="0" w:type="dxa"/>
            <w:left w:w="0" w:type="dxa"/>
            <w:bottom w:w="0" w:type="dxa"/>
            <w:right w:w="0" w:type="dxa"/>
          </w:tblCellMar>
        </w:tblPrEx>
        <w:trPr>
          <w:trHeight w:val="306"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p>
        </w:tc>
        <w:tc>
          <w:tcPr>
            <w:tcW w:w="5520" w:type="dxa"/>
            <w:gridSpan w:val="2"/>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3"/>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p>
        </w:tc>
        <w:tc>
          <w:tcPr>
            <w:tcW w:w="1080" w:type="dxa"/>
            <w:gridSpan w:val="3"/>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61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w w:val="88"/>
                <w:kern w:val="0"/>
                <w:sz w:val="28"/>
                <w:szCs w:val="28"/>
              </w:rPr>
            </w:pPr>
            <w:r>
              <w:rPr>
                <w:rFonts w:hint="eastAsia" w:ascii="仿宋" w:hAnsi="仿宋" w:eastAsia="仿宋" w:cs="仿宋"/>
                <w:color w:val="auto"/>
                <w:sz w:val="28"/>
                <w:szCs w:val="28"/>
              </w:rPr>
              <w:t>6</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因工作纪律、工作计划变更、工作现场的文明施工所导致的有效投诉</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w w:val="95"/>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w w:val="88"/>
                <w:kern w:val="0"/>
                <w:sz w:val="28"/>
                <w:szCs w:val="28"/>
              </w:rPr>
            </w:pPr>
            <w:r>
              <w:rPr>
                <w:rFonts w:hint="eastAsia" w:ascii="仿宋" w:hAnsi="仿宋" w:eastAsia="仿宋" w:cs="仿宋"/>
                <w:color w:val="auto"/>
                <w:sz w:val="28"/>
                <w:szCs w:val="28"/>
              </w:rPr>
              <w:t>7</w:t>
            </w:r>
          </w:p>
        </w:tc>
        <w:tc>
          <w:tcPr>
            <w:tcW w:w="8200" w:type="dxa"/>
            <w:gridSpan w:val="11"/>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因工作失误出现下列情况而未导致严重后果的</w:t>
            </w: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sz w:val="28"/>
                <w:szCs w:val="28"/>
              </w:rPr>
            </w:pPr>
            <w:r>
              <w:rPr>
                <w:rFonts w:hint="eastAsia" w:ascii="仿宋" w:hAnsi="仿宋" w:eastAsia="仿宋" w:cs="仿宋"/>
                <w:color w:val="auto"/>
                <w:sz w:val="28"/>
                <w:szCs w:val="28"/>
              </w:rPr>
              <w:t>7.1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气体灭火系统喷气</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7.2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警铃动作</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7.3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广播动作</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7.4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电梯迫降</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4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8</w:t>
            </w:r>
          </w:p>
        </w:tc>
        <w:tc>
          <w:tcPr>
            <w:tcW w:w="6400" w:type="dxa"/>
            <w:gridSpan w:val="5"/>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因工作失误出现下列情况导致严重后果的</w:t>
            </w:r>
          </w:p>
        </w:tc>
        <w:tc>
          <w:tcPr>
            <w:tcW w:w="10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8.1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气体灭火系统喷气</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3</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8. 2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警铃动作</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8.3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广播动作</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8.4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电梯迫降</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9</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接书面通知，未按通知开展工作且未及时书面反映情况的</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b w:val="0"/>
                <w:bCs w:val="0"/>
                <w:color w:val="auto"/>
                <w:kern w:val="0"/>
                <w:sz w:val="28"/>
                <w:szCs w:val="28"/>
                <w:lang w:val="en-US" w:eastAsia="zh-CN"/>
              </w:rPr>
              <w:t>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46"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w:t>
            </w:r>
          </w:p>
        </w:tc>
        <w:tc>
          <w:tcPr>
            <w:tcW w:w="5520" w:type="dxa"/>
            <w:gridSpan w:val="2"/>
            <w:tcBorders>
              <w:top w:val="nil"/>
              <w:left w:val="nil"/>
              <w:bottom w:val="single" w:color="auto" w:sz="8" w:space="0"/>
              <w:right w:val="nil"/>
            </w:tcBorders>
            <w:vAlign w:val="bottom"/>
          </w:tcPr>
          <w:p>
            <w:pPr>
              <w:autoSpaceDE w:val="0"/>
              <w:autoSpaceDN w:val="0"/>
              <w:adjustRightInd w:val="0"/>
              <w:spacing w:line="240" w:lineRule="auto"/>
              <w:ind w:left="2534"/>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火灾自动报警系统</w:t>
            </w:r>
          </w:p>
        </w:tc>
        <w:tc>
          <w:tcPr>
            <w:tcW w:w="8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报警主机故障</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联动控制柜故障</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其它报警设备单点故障</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报警主机未按计划保养</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10.5</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联动控制柜未按计划保养</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10.6</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其它设备未按计划保养</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10.7</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报警设备未按计划进行检测</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种</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0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vMerge w:val="restart"/>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10.8</w:t>
            </w:r>
          </w:p>
        </w:tc>
        <w:tc>
          <w:tcPr>
            <w:tcW w:w="5520" w:type="dxa"/>
            <w:gridSpan w:val="2"/>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报警主机、联动控制柜、模块箱内有灰尘、端子松动、</w:t>
            </w:r>
          </w:p>
        </w:tc>
        <w:tc>
          <w:tcPr>
            <w:tcW w:w="880" w:type="dxa"/>
            <w:gridSpan w:val="3"/>
            <w:vMerge w:val="restart"/>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台</w:t>
            </w:r>
          </w:p>
        </w:tc>
        <w:tc>
          <w:tcPr>
            <w:tcW w:w="1080" w:type="dxa"/>
            <w:gridSpan w:val="3"/>
            <w:vMerge w:val="restart"/>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21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vMerge w:val="continue"/>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5520" w:type="dxa"/>
            <w:gridSpan w:val="2"/>
            <w:vMerge w:val="restart"/>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端子有锈蚀、接线未绑扎成束等保养质量不合格处</w:t>
            </w:r>
          </w:p>
        </w:tc>
        <w:tc>
          <w:tcPr>
            <w:tcW w:w="880" w:type="dxa"/>
            <w:gridSpan w:val="3"/>
            <w:vMerge w:val="continue"/>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vMerge w:val="continue"/>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14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5520" w:type="dxa"/>
            <w:gridSpan w:val="2"/>
            <w:vMerge w:val="continue"/>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44"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4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10.9</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其它报警设备不牢固、有灰尘等质量不合格处</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7"/>
                <w:kern w:val="0"/>
                <w:sz w:val="28"/>
                <w:szCs w:val="28"/>
              </w:rPr>
              <w:t>0.</w:t>
            </w:r>
            <w:r>
              <w:rPr>
                <w:rFonts w:hint="eastAsia" w:ascii="仿宋" w:hAnsi="仿宋" w:eastAsia="仿宋" w:cs="仿宋"/>
                <w:color w:val="auto"/>
                <w:w w:val="97"/>
                <w:kern w:val="0"/>
                <w:sz w:val="28"/>
                <w:szCs w:val="28"/>
                <w:lang w:val="en-US" w:eastAsia="zh-CN"/>
              </w:rPr>
              <w:t>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10.10</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测试报警设备有不能正常动作的</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4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11</w:t>
            </w:r>
          </w:p>
        </w:tc>
        <w:tc>
          <w:tcPr>
            <w:tcW w:w="5520" w:type="dxa"/>
            <w:gridSpan w:val="2"/>
            <w:tcBorders>
              <w:top w:val="nil"/>
              <w:left w:val="nil"/>
              <w:bottom w:val="single" w:color="auto" w:sz="8" w:space="0"/>
              <w:right w:val="nil"/>
            </w:tcBorders>
            <w:vAlign w:val="bottom"/>
          </w:tcPr>
          <w:p>
            <w:pPr>
              <w:autoSpaceDE w:val="0"/>
              <w:autoSpaceDN w:val="0"/>
              <w:adjustRightInd w:val="0"/>
              <w:spacing w:line="240" w:lineRule="auto"/>
              <w:ind w:left="2534"/>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自动喷水灭火系统</w:t>
            </w:r>
          </w:p>
        </w:tc>
        <w:tc>
          <w:tcPr>
            <w:tcW w:w="8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11.1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测试消防水泵不能启动</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11.2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压力表不能正常显示压力</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11.3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阀门未处于正常开、关状态</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11.4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湿式报警阀被关闭</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11.5</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湿式报警阀工作不正常</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w:t>
            </w:r>
            <w:r>
              <w:rPr>
                <w:rFonts w:hint="eastAsia" w:ascii="仿宋" w:hAnsi="仿宋" w:eastAsia="仿宋" w:cs="仿宋"/>
                <w:color w:val="auto"/>
                <w:kern w:val="0"/>
                <w:sz w:val="28"/>
                <w:szCs w:val="28"/>
                <w:lang w:val="en-US" w:eastAsia="zh-CN"/>
              </w:rPr>
              <w:t>6</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信号闸阀被关闭</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w:t>
            </w:r>
            <w:r>
              <w:rPr>
                <w:rFonts w:hint="eastAsia" w:ascii="仿宋" w:hAnsi="仿宋" w:eastAsia="仿宋" w:cs="仿宋"/>
                <w:color w:val="auto"/>
                <w:kern w:val="0"/>
                <w:sz w:val="28"/>
                <w:szCs w:val="28"/>
                <w:lang w:val="en-US" w:eastAsia="zh-CN"/>
              </w:rPr>
              <w:t>7</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测试水流指示器不能正常动作</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w:t>
            </w:r>
            <w:r>
              <w:rPr>
                <w:rFonts w:hint="eastAsia" w:ascii="仿宋" w:hAnsi="仿宋" w:eastAsia="仿宋" w:cs="仿宋"/>
                <w:color w:val="auto"/>
                <w:kern w:val="0"/>
                <w:sz w:val="28"/>
                <w:szCs w:val="28"/>
                <w:lang w:val="en-US" w:eastAsia="zh-CN"/>
              </w:rPr>
              <w:t>8</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水泵接合器漏水</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w:t>
            </w:r>
            <w:r>
              <w:rPr>
                <w:rFonts w:hint="eastAsia" w:ascii="仿宋" w:hAnsi="仿宋" w:eastAsia="仿宋" w:cs="仿宋"/>
                <w:color w:val="auto"/>
                <w:kern w:val="0"/>
                <w:sz w:val="28"/>
                <w:szCs w:val="28"/>
                <w:lang w:val="en-US" w:eastAsia="zh-CN"/>
              </w:rPr>
              <w:t>9</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阀门漏水</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rPr>
              <w:t>11.</w:t>
            </w:r>
            <w:r>
              <w:rPr>
                <w:rFonts w:hint="eastAsia" w:ascii="仿宋" w:hAnsi="仿宋" w:eastAsia="仿宋" w:cs="仿宋"/>
                <w:color w:val="auto"/>
                <w:kern w:val="0"/>
                <w:sz w:val="28"/>
                <w:szCs w:val="28"/>
                <w:lang w:val="en-US" w:eastAsia="zh-CN"/>
              </w:rPr>
              <w:t>10</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both"/>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系统设备未按计划进行保养</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种</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11.1</w:t>
            </w:r>
            <w:r>
              <w:rPr>
                <w:rFonts w:hint="eastAsia" w:ascii="仿宋" w:hAnsi="仿宋" w:eastAsia="仿宋" w:cs="仿宋"/>
                <w:color w:val="auto"/>
                <w:kern w:val="0"/>
                <w:sz w:val="28"/>
                <w:szCs w:val="28"/>
                <w:lang w:val="en-US" w:eastAsia="zh-CN"/>
              </w:rPr>
              <w:t>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both"/>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系统设备未按计划进行检测</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种</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0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vMerge w:val="restart"/>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11.1</w:t>
            </w:r>
            <w:r>
              <w:rPr>
                <w:rFonts w:hint="eastAsia" w:ascii="仿宋" w:hAnsi="仿宋" w:eastAsia="仿宋" w:cs="仿宋"/>
                <w:color w:val="auto"/>
                <w:kern w:val="0"/>
                <w:sz w:val="28"/>
                <w:szCs w:val="28"/>
                <w:lang w:val="en-US" w:eastAsia="zh-CN"/>
              </w:rPr>
              <w:t>2</w:t>
            </w:r>
          </w:p>
        </w:tc>
        <w:tc>
          <w:tcPr>
            <w:tcW w:w="5520" w:type="dxa"/>
            <w:gridSpan w:val="2"/>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消防水泵、阀门、信号闸阀、水流指示器等未加油进</w:t>
            </w:r>
          </w:p>
        </w:tc>
        <w:tc>
          <w:tcPr>
            <w:tcW w:w="880" w:type="dxa"/>
            <w:gridSpan w:val="3"/>
            <w:vMerge w:val="restart"/>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台/只</w:t>
            </w:r>
          </w:p>
        </w:tc>
        <w:tc>
          <w:tcPr>
            <w:tcW w:w="1080" w:type="dxa"/>
            <w:gridSpan w:val="3"/>
            <w:vMerge w:val="restart"/>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5"/>
                <w:kern w:val="0"/>
                <w:sz w:val="28"/>
                <w:szCs w:val="28"/>
              </w:rPr>
              <w:t>0.</w:t>
            </w:r>
            <w:r>
              <w:rPr>
                <w:rFonts w:hint="eastAsia" w:ascii="仿宋" w:hAnsi="仿宋" w:eastAsia="仿宋" w:cs="仿宋"/>
                <w:color w:val="auto"/>
                <w:w w:val="95"/>
                <w:kern w:val="0"/>
                <w:sz w:val="28"/>
                <w:szCs w:val="28"/>
                <w:lang w:val="en-US" w:eastAsia="zh-CN"/>
              </w:rPr>
              <w:t>5</w:t>
            </w: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21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vMerge w:val="continue"/>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5520" w:type="dxa"/>
            <w:gridSpan w:val="2"/>
            <w:vMerge w:val="restart"/>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行润滑保养</w:t>
            </w:r>
          </w:p>
        </w:tc>
        <w:tc>
          <w:tcPr>
            <w:tcW w:w="880" w:type="dxa"/>
            <w:gridSpan w:val="3"/>
            <w:vMerge w:val="continue"/>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vMerge w:val="continue"/>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14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5520" w:type="dxa"/>
            <w:gridSpan w:val="2"/>
            <w:vMerge w:val="continue"/>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44"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4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single" w:color="auto" w:sz="8" w:space="0"/>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11.1</w:t>
            </w:r>
            <w:r>
              <w:rPr>
                <w:rFonts w:hint="eastAsia" w:ascii="仿宋" w:hAnsi="仿宋" w:eastAsia="仿宋" w:cs="仿宋"/>
                <w:color w:val="auto"/>
                <w:kern w:val="0"/>
                <w:sz w:val="28"/>
                <w:szCs w:val="28"/>
                <w:lang w:val="en-US" w:eastAsia="zh-CN"/>
              </w:rPr>
              <w:t>3</w:t>
            </w:r>
          </w:p>
        </w:tc>
        <w:tc>
          <w:tcPr>
            <w:tcW w:w="5520" w:type="dxa"/>
            <w:gridSpan w:val="2"/>
            <w:tcBorders>
              <w:top w:val="single" w:color="auto" w:sz="8" w:space="0"/>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消防管道、消防设备有脱漆现象</w:t>
            </w:r>
          </w:p>
        </w:tc>
        <w:tc>
          <w:tcPr>
            <w:tcW w:w="880" w:type="dxa"/>
            <w:gridSpan w:val="3"/>
            <w:tcBorders>
              <w:top w:val="single" w:color="auto" w:sz="8" w:space="0"/>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处</w:t>
            </w:r>
          </w:p>
        </w:tc>
        <w:tc>
          <w:tcPr>
            <w:tcW w:w="1080" w:type="dxa"/>
            <w:gridSpan w:val="3"/>
            <w:tcBorders>
              <w:top w:val="single" w:color="auto" w:sz="8" w:space="0"/>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7"/>
                <w:kern w:val="0"/>
                <w:sz w:val="28"/>
                <w:szCs w:val="28"/>
              </w:rPr>
              <w:t>0.</w:t>
            </w:r>
            <w:r>
              <w:rPr>
                <w:rFonts w:hint="eastAsia" w:ascii="仿宋" w:hAnsi="仿宋" w:eastAsia="仿宋" w:cs="仿宋"/>
                <w:color w:val="auto"/>
                <w:w w:val="97"/>
                <w:kern w:val="0"/>
                <w:sz w:val="28"/>
                <w:szCs w:val="28"/>
                <w:lang w:val="en-US" w:eastAsia="zh-CN"/>
              </w:rPr>
              <w:t>3</w:t>
            </w:r>
          </w:p>
        </w:tc>
        <w:tc>
          <w:tcPr>
            <w:tcW w:w="720" w:type="dxa"/>
            <w:gridSpan w:val="3"/>
            <w:tcBorders>
              <w:top w:val="single" w:color="auto" w:sz="8" w:space="0"/>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11.1</w:t>
            </w:r>
            <w:r>
              <w:rPr>
                <w:rFonts w:hint="eastAsia" w:ascii="仿宋" w:hAnsi="仿宋" w:eastAsia="仿宋" w:cs="仿宋"/>
                <w:color w:val="auto"/>
                <w:kern w:val="0"/>
                <w:sz w:val="28"/>
                <w:szCs w:val="28"/>
                <w:lang w:val="en-US" w:eastAsia="zh-CN"/>
              </w:rPr>
              <w:t>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消防水泵房地面不干净</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11．1</w:t>
            </w:r>
            <w:r>
              <w:rPr>
                <w:rFonts w:hint="eastAsia" w:ascii="仿宋" w:hAnsi="仿宋" w:eastAsia="仿宋" w:cs="仿宋"/>
                <w:color w:val="auto"/>
                <w:kern w:val="0"/>
                <w:sz w:val="28"/>
                <w:szCs w:val="28"/>
                <w:lang w:val="en-US" w:eastAsia="zh-CN"/>
              </w:rPr>
              <w:t>5</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消防管道水流方向及所属系统标志不清或错误</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处</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11.1</w:t>
            </w:r>
            <w:r>
              <w:rPr>
                <w:rFonts w:hint="eastAsia" w:ascii="仿宋" w:hAnsi="仿宋" w:eastAsia="仿宋" w:cs="仿宋"/>
                <w:color w:val="auto"/>
                <w:kern w:val="0"/>
                <w:sz w:val="28"/>
                <w:szCs w:val="28"/>
                <w:lang w:val="en-US" w:eastAsia="zh-CN"/>
              </w:rPr>
              <w:t>6</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喷头装饰碟生锈、变形</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val="en-US" w:eastAsia="zh-CN"/>
              </w:rPr>
            </w:pPr>
            <w:r>
              <w:rPr>
                <w:rFonts w:hint="eastAsia" w:ascii="仿宋" w:hAnsi="仿宋" w:eastAsia="仿宋" w:cs="仿宋"/>
                <w:color w:val="auto"/>
                <w:w w:val="95"/>
                <w:kern w:val="0"/>
                <w:sz w:val="28"/>
                <w:szCs w:val="28"/>
              </w:rPr>
              <w:t>0.</w:t>
            </w:r>
            <w:r>
              <w:rPr>
                <w:rFonts w:hint="eastAsia" w:ascii="仿宋" w:hAnsi="仿宋" w:eastAsia="仿宋" w:cs="仿宋"/>
                <w:color w:val="auto"/>
                <w:w w:val="95"/>
                <w:kern w:val="0"/>
                <w:sz w:val="28"/>
                <w:szCs w:val="28"/>
                <w:lang w:val="en-US" w:eastAsia="zh-CN"/>
              </w:rPr>
              <w:t>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w:t>
            </w:r>
          </w:p>
        </w:tc>
        <w:tc>
          <w:tcPr>
            <w:tcW w:w="5520" w:type="dxa"/>
            <w:gridSpan w:val="2"/>
            <w:tcBorders>
              <w:top w:val="nil"/>
              <w:left w:val="nil"/>
              <w:bottom w:val="single" w:color="auto" w:sz="8" w:space="0"/>
              <w:right w:val="nil"/>
            </w:tcBorders>
            <w:vAlign w:val="bottom"/>
          </w:tcPr>
          <w:p>
            <w:pPr>
              <w:autoSpaceDE w:val="0"/>
              <w:autoSpaceDN w:val="0"/>
              <w:adjustRightInd w:val="0"/>
              <w:spacing w:line="240" w:lineRule="auto"/>
              <w:ind w:left="2554"/>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室内外消火栓</w:t>
            </w:r>
          </w:p>
        </w:tc>
        <w:tc>
          <w:tcPr>
            <w:tcW w:w="8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测试消防水泵不能启动</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压力表不能正常显示压力</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0.3</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阀门未处于正常开、关状态</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室外消火栓漏水</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12.5</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室内消火栓漏水</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12.6</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水泵接合器漏水</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5"/>
                <w:kern w:val="0"/>
                <w:sz w:val="28"/>
                <w:szCs w:val="28"/>
              </w:rPr>
              <w:t>0.</w:t>
            </w:r>
            <w:r>
              <w:rPr>
                <w:rFonts w:hint="eastAsia" w:ascii="仿宋" w:hAnsi="仿宋" w:eastAsia="仿宋" w:cs="仿宋"/>
                <w:color w:val="auto"/>
                <w:w w:val="95"/>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12.7</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阀门漏水</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5"/>
                <w:kern w:val="0"/>
                <w:sz w:val="28"/>
                <w:szCs w:val="28"/>
              </w:rPr>
              <w:t>0.</w:t>
            </w:r>
            <w:r>
              <w:rPr>
                <w:rFonts w:hint="eastAsia" w:ascii="仿宋" w:hAnsi="仿宋" w:eastAsia="仿宋" w:cs="仿宋"/>
                <w:color w:val="auto"/>
                <w:w w:val="95"/>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12.8</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系统设备未按计划进行保养</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种</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5"/>
                <w:kern w:val="0"/>
                <w:sz w:val="28"/>
                <w:szCs w:val="28"/>
              </w:rPr>
              <w:t>0.</w:t>
            </w:r>
            <w:r>
              <w:rPr>
                <w:rFonts w:hint="eastAsia" w:ascii="仿宋" w:hAnsi="仿宋" w:eastAsia="仿宋" w:cs="仿宋"/>
                <w:color w:val="auto"/>
                <w:w w:val="95"/>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12.9</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系统设备未按计划进行检测</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种</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5"/>
                <w:kern w:val="0"/>
                <w:sz w:val="28"/>
                <w:szCs w:val="28"/>
              </w:rPr>
              <w:t>0.</w:t>
            </w:r>
            <w:r>
              <w:rPr>
                <w:rFonts w:hint="eastAsia" w:ascii="仿宋" w:hAnsi="仿宋" w:eastAsia="仿宋" w:cs="仿宋"/>
                <w:color w:val="auto"/>
                <w:w w:val="95"/>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0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vMerge w:val="restart"/>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12.10</w:t>
            </w:r>
          </w:p>
        </w:tc>
        <w:tc>
          <w:tcPr>
            <w:tcW w:w="5520" w:type="dxa"/>
            <w:gridSpan w:val="2"/>
            <w:vMerge w:val="restart"/>
            <w:tcBorders>
              <w:top w:val="nil"/>
              <w:left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消防水泵、阀门、室外消火栓、消火栓箱内阀门等未加油进行润滑保养。</w:t>
            </w:r>
          </w:p>
        </w:tc>
        <w:tc>
          <w:tcPr>
            <w:tcW w:w="880" w:type="dxa"/>
            <w:gridSpan w:val="3"/>
            <w:vMerge w:val="restart"/>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台/只</w:t>
            </w:r>
          </w:p>
        </w:tc>
        <w:tc>
          <w:tcPr>
            <w:tcW w:w="1080" w:type="dxa"/>
            <w:gridSpan w:val="3"/>
            <w:vMerge w:val="restart"/>
            <w:tcBorders>
              <w:top w:val="nil"/>
              <w:left w:val="nil"/>
              <w:bottom w:val="nil"/>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5"/>
                <w:kern w:val="0"/>
                <w:sz w:val="28"/>
                <w:szCs w:val="28"/>
              </w:rPr>
              <w:t>0.</w:t>
            </w:r>
            <w:r>
              <w:rPr>
                <w:rFonts w:hint="eastAsia" w:ascii="仿宋" w:hAnsi="仿宋" w:eastAsia="仿宋" w:cs="仿宋"/>
                <w:color w:val="auto"/>
                <w:w w:val="95"/>
                <w:kern w:val="0"/>
                <w:sz w:val="28"/>
                <w:szCs w:val="28"/>
                <w:lang w:val="en-US" w:eastAsia="zh-CN"/>
              </w:rPr>
              <w:t>1</w:t>
            </w: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21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vMerge w:val="continue"/>
            <w:tcBorders>
              <w:top w:val="nil"/>
              <w:left w:val="nil"/>
              <w:bottom w:val="single" w:color="auto" w:sz="4"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5520" w:type="dxa"/>
            <w:gridSpan w:val="2"/>
            <w:vMerge w:val="continue"/>
            <w:tcBorders>
              <w:left w:val="nil"/>
              <w:bottom w:val="single" w:color="auto" w:sz="4"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3"/>
            <w:vMerge w:val="continue"/>
            <w:tcBorders>
              <w:top w:val="nil"/>
              <w:left w:val="nil"/>
              <w:bottom w:val="single" w:color="auto" w:sz="4"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vMerge w:val="continue"/>
            <w:tcBorders>
              <w:top w:val="nil"/>
              <w:left w:val="nil"/>
              <w:bottom w:val="single" w:color="auto" w:sz="4"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4"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4"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single" w:color="auto" w:sz="4" w:space="0"/>
              <w:left w:val="single" w:color="auto" w:sz="4" w:space="0"/>
              <w:bottom w:val="single" w:color="auto" w:sz="4"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12.11</w:t>
            </w:r>
          </w:p>
        </w:tc>
        <w:tc>
          <w:tcPr>
            <w:tcW w:w="5520" w:type="dxa"/>
            <w:gridSpan w:val="2"/>
            <w:tcBorders>
              <w:top w:val="single" w:color="auto" w:sz="4" w:space="0"/>
              <w:left w:val="nil"/>
              <w:bottom w:val="single" w:color="auto" w:sz="4"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消防管道、消防设备有脱漆现象</w:t>
            </w:r>
          </w:p>
        </w:tc>
        <w:tc>
          <w:tcPr>
            <w:tcW w:w="880" w:type="dxa"/>
            <w:gridSpan w:val="3"/>
            <w:tcBorders>
              <w:top w:val="single" w:color="auto" w:sz="4" w:space="0"/>
              <w:left w:val="nil"/>
              <w:bottom w:val="single" w:color="auto" w:sz="4"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处</w:t>
            </w:r>
          </w:p>
        </w:tc>
        <w:tc>
          <w:tcPr>
            <w:tcW w:w="1080" w:type="dxa"/>
            <w:gridSpan w:val="3"/>
            <w:tcBorders>
              <w:top w:val="single" w:color="auto" w:sz="4" w:space="0"/>
              <w:left w:val="nil"/>
              <w:bottom w:val="single" w:color="auto" w:sz="4"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7"/>
                <w:kern w:val="0"/>
                <w:sz w:val="28"/>
                <w:szCs w:val="28"/>
              </w:rPr>
              <w:t>0.</w:t>
            </w:r>
            <w:r>
              <w:rPr>
                <w:rFonts w:hint="eastAsia" w:ascii="仿宋" w:hAnsi="仿宋" w:eastAsia="仿宋" w:cs="仿宋"/>
                <w:color w:val="auto"/>
                <w:w w:val="97"/>
                <w:kern w:val="0"/>
                <w:sz w:val="28"/>
                <w:szCs w:val="28"/>
                <w:lang w:val="en-US" w:eastAsia="zh-CN"/>
              </w:rPr>
              <w:t>1</w:t>
            </w:r>
          </w:p>
        </w:tc>
        <w:tc>
          <w:tcPr>
            <w:tcW w:w="720" w:type="dxa"/>
            <w:gridSpan w:val="3"/>
            <w:tcBorders>
              <w:top w:val="single" w:color="auto" w:sz="4" w:space="0"/>
              <w:left w:val="nil"/>
              <w:bottom w:val="single" w:color="auto" w:sz="4" w:space="0"/>
              <w:right w:val="single" w:color="auto" w:sz="4"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single" w:color="auto" w:sz="4" w:space="0"/>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single" w:color="auto" w:sz="4" w:space="0"/>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12.12</w:t>
            </w:r>
          </w:p>
        </w:tc>
        <w:tc>
          <w:tcPr>
            <w:tcW w:w="5520" w:type="dxa"/>
            <w:gridSpan w:val="2"/>
            <w:tcBorders>
              <w:top w:val="single" w:color="auto" w:sz="4" w:space="0"/>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消防管道水流方向及所属系统标志不清或错误</w:t>
            </w:r>
          </w:p>
        </w:tc>
        <w:tc>
          <w:tcPr>
            <w:tcW w:w="880" w:type="dxa"/>
            <w:gridSpan w:val="3"/>
            <w:tcBorders>
              <w:top w:val="single" w:color="auto" w:sz="4" w:space="0"/>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处</w:t>
            </w:r>
          </w:p>
        </w:tc>
        <w:tc>
          <w:tcPr>
            <w:tcW w:w="1080" w:type="dxa"/>
            <w:gridSpan w:val="3"/>
            <w:tcBorders>
              <w:top w:val="single" w:color="auto" w:sz="4" w:space="0"/>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5"/>
                <w:kern w:val="0"/>
                <w:sz w:val="28"/>
                <w:szCs w:val="28"/>
              </w:rPr>
              <w:t>0.</w:t>
            </w:r>
            <w:r>
              <w:rPr>
                <w:rFonts w:hint="eastAsia" w:ascii="仿宋" w:hAnsi="仿宋" w:eastAsia="仿宋" w:cs="仿宋"/>
                <w:color w:val="auto"/>
                <w:w w:val="95"/>
                <w:kern w:val="0"/>
                <w:sz w:val="28"/>
                <w:szCs w:val="28"/>
                <w:lang w:val="en-US" w:eastAsia="zh-CN"/>
              </w:rPr>
              <w:t>1</w:t>
            </w:r>
          </w:p>
        </w:tc>
        <w:tc>
          <w:tcPr>
            <w:tcW w:w="720" w:type="dxa"/>
            <w:gridSpan w:val="3"/>
            <w:tcBorders>
              <w:top w:val="single" w:color="auto" w:sz="4" w:space="0"/>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12.13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消防水箱水量不足</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12.14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消防水池水量不足</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12.15</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消防水箱内水大量溢出</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4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13</w:t>
            </w:r>
          </w:p>
        </w:tc>
        <w:tc>
          <w:tcPr>
            <w:tcW w:w="5520" w:type="dxa"/>
            <w:gridSpan w:val="2"/>
            <w:tcBorders>
              <w:top w:val="nil"/>
              <w:left w:val="nil"/>
              <w:bottom w:val="single" w:color="auto" w:sz="8" w:space="0"/>
              <w:right w:val="nil"/>
            </w:tcBorders>
            <w:vAlign w:val="bottom"/>
          </w:tcPr>
          <w:p>
            <w:pPr>
              <w:autoSpaceDE w:val="0"/>
              <w:autoSpaceDN w:val="0"/>
              <w:adjustRightInd w:val="0"/>
              <w:spacing w:line="240" w:lineRule="auto"/>
              <w:ind w:firstLine="2940" w:firstLineChars="105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防排烟系统</w:t>
            </w:r>
          </w:p>
        </w:tc>
        <w:tc>
          <w:tcPr>
            <w:tcW w:w="8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13.1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测试风机不能启动</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台</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13.2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测试电动风阀不能正常打开</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13.3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系统设备未按计划进行保养</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种</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13.4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系统设备未按计划进行检测</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种</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5"/>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13.5</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风机、电动阀的执行机构未加油进行润滑</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台/只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7"/>
                <w:kern w:val="0"/>
                <w:sz w:val="28"/>
                <w:szCs w:val="28"/>
              </w:rPr>
              <w:t>0.</w:t>
            </w:r>
            <w:r>
              <w:rPr>
                <w:rFonts w:hint="eastAsia" w:ascii="仿宋" w:hAnsi="仿宋" w:eastAsia="仿宋" w:cs="仿宋"/>
                <w:color w:val="auto"/>
                <w:w w:val="97"/>
                <w:kern w:val="0"/>
                <w:sz w:val="28"/>
                <w:szCs w:val="28"/>
                <w:lang w:val="en-US" w:eastAsia="zh-CN"/>
              </w:rPr>
              <w:t>3</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13.6</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风机、风阀表面有变形处或有灰尘或油漆有脱落处</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处</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w w:val="97"/>
                <w:kern w:val="0"/>
                <w:sz w:val="28"/>
                <w:szCs w:val="28"/>
              </w:rPr>
              <w:t>0.2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14</w:t>
            </w:r>
          </w:p>
        </w:tc>
        <w:tc>
          <w:tcPr>
            <w:tcW w:w="5520" w:type="dxa"/>
            <w:gridSpan w:val="2"/>
            <w:tcBorders>
              <w:top w:val="nil"/>
              <w:left w:val="nil"/>
              <w:bottom w:val="single" w:color="auto" w:sz="8" w:space="0"/>
              <w:right w:val="nil"/>
            </w:tcBorders>
            <w:vAlign w:val="bottom"/>
          </w:tcPr>
          <w:p>
            <w:pPr>
              <w:autoSpaceDE w:val="0"/>
              <w:autoSpaceDN w:val="0"/>
              <w:adjustRightInd w:val="0"/>
              <w:spacing w:line="240" w:lineRule="auto"/>
              <w:ind w:firstLine="2380" w:firstLineChars="85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应急灯、疏散指示灯</w:t>
            </w:r>
          </w:p>
        </w:tc>
        <w:tc>
          <w:tcPr>
            <w:tcW w:w="8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4"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14.1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应急灯、疏散指示灯模拟测试不能切换</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14.2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应急灯、疏散指示灯安装不牢固</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7"/>
                <w:kern w:val="0"/>
                <w:sz w:val="28"/>
                <w:szCs w:val="28"/>
              </w:rPr>
              <w:t>0.</w:t>
            </w:r>
            <w:r>
              <w:rPr>
                <w:rFonts w:hint="eastAsia" w:ascii="仿宋" w:hAnsi="仿宋" w:eastAsia="仿宋" w:cs="仿宋"/>
                <w:color w:val="auto"/>
                <w:w w:val="97"/>
                <w:kern w:val="0"/>
                <w:sz w:val="28"/>
                <w:szCs w:val="28"/>
                <w:lang w:val="en-US" w:eastAsia="zh-CN"/>
              </w:rPr>
              <w:t>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14.3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应急灯、疏散指示灯表面不干净</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只</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w w:val="95"/>
                <w:kern w:val="0"/>
                <w:sz w:val="28"/>
                <w:szCs w:val="28"/>
              </w:rPr>
              <w:t>0.</w:t>
            </w:r>
            <w:r>
              <w:rPr>
                <w:rFonts w:hint="eastAsia" w:ascii="仿宋" w:hAnsi="仿宋" w:eastAsia="仿宋" w:cs="仿宋"/>
                <w:color w:val="auto"/>
                <w:w w:val="95"/>
                <w:kern w:val="0"/>
                <w:sz w:val="28"/>
                <w:szCs w:val="28"/>
                <w:lang w:val="en-US" w:eastAsia="zh-CN"/>
              </w:rPr>
              <w:t>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4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15</w:t>
            </w:r>
          </w:p>
        </w:tc>
        <w:tc>
          <w:tcPr>
            <w:tcW w:w="5520" w:type="dxa"/>
            <w:gridSpan w:val="2"/>
            <w:tcBorders>
              <w:top w:val="nil"/>
              <w:left w:val="nil"/>
              <w:bottom w:val="single" w:color="auto" w:sz="8" w:space="0"/>
              <w:right w:val="nil"/>
            </w:tcBorders>
            <w:vAlign w:val="bottom"/>
          </w:tcPr>
          <w:p>
            <w:pPr>
              <w:autoSpaceDE w:val="0"/>
              <w:autoSpaceDN w:val="0"/>
              <w:adjustRightInd w:val="0"/>
              <w:spacing w:line="240" w:lineRule="auto"/>
              <w:ind w:firstLine="1772" w:firstLineChars="633"/>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防火卷帘</w:t>
            </w:r>
          </w:p>
        </w:tc>
        <w:tc>
          <w:tcPr>
            <w:tcW w:w="8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15.1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测试防火卷帘不能联动或现场手动动作</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镗</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15.2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防火卷帘轨道、电机未加油润滑</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镗</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15.3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防火卷帘帘板有变形处或表面有灰尘</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镗</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4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16</w:t>
            </w:r>
          </w:p>
        </w:tc>
        <w:tc>
          <w:tcPr>
            <w:tcW w:w="5520" w:type="dxa"/>
            <w:gridSpan w:val="2"/>
            <w:tcBorders>
              <w:top w:val="nil"/>
              <w:left w:val="nil"/>
              <w:bottom w:val="single" w:color="auto" w:sz="8" w:space="0"/>
              <w:right w:val="nil"/>
            </w:tcBorders>
            <w:vAlign w:val="bottom"/>
          </w:tcPr>
          <w:p>
            <w:pPr>
              <w:autoSpaceDE w:val="0"/>
              <w:autoSpaceDN w:val="0"/>
              <w:adjustRightInd w:val="0"/>
              <w:spacing w:line="240" w:lineRule="auto"/>
              <w:ind w:left="2534"/>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防火门</w:t>
            </w:r>
          </w:p>
        </w:tc>
        <w:tc>
          <w:tcPr>
            <w:tcW w:w="8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1080" w:type="dxa"/>
            <w:gridSpan w:val="3"/>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16.1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防火门闭门器损坏或不能正常关闭</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樘</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0.2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16.2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防火门表面有变形处或表面有大量灰尘</w:t>
            </w:r>
          </w:p>
        </w:tc>
        <w:tc>
          <w:tcPr>
            <w:tcW w:w="8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樘</w:t>
            </w:r>
          </w:p>
        </w:tc>
        <w:tc>
          <w:tcPr>
            <w:tcW w:w="108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0.2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6"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single" w:color="auto" w:sz="8" w:space="0"/>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17</w:t>
            </w:r>
          </w:p>
        </w:tc>
        <w:tc>
          <w:tcPr>
            <w:tcW w:w="5720" w:type="dxa"/>
            <w:gridSpan w:val="3"/>
            <w:tcBorders>
              <w:top w:val="single" w:color="auto" w:sz="8" w:space="0"/>
              <w:left w:val="nil"/>
              <w:bottom w:val="single" w:color="auto" w:sz="8" w:space="0"/>
              <w:right w:val="nil"/>
            </w:tcBorders>
            <w:vAlign w:val="bottom"/>
          </w:tcPr>
          <w:p>
            <w:pPr>
              <w:autoSpaceDE w:val="0"/>
              <w:autoSpaceDN w:val="0"/>
              <w:adjustRightInd w:val="0"/>
              <w:spacing w:line="240" w:lineRule="auto"/>
              <w:ind w:left="2354"/>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气体灭火系统</w:t>
            </w:r>
          </w:p>
        </w:tc>
        <w:tc>
          <w:tcPr>
            <w:tcW w:w="680" w:type="dxa"/>
            <w:gridSpan w:val="2"/>
            <w:tcBorders>
              <w:top w:val="single" w:color="auto" w:sz="8" w:space="0"/>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single" w:color="auto" w:sz="8" w:space="0"/>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single" w:color="auto" w:sz="8" w:space="0"/>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single" w:color="auto" w:sz="8" w:space="0"/>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17.1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测试探测器不能正常报警</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只</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17.2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模拟火灾状态有设备不能正常动作</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种</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17.3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报警主机有故障</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个</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17.4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贮瓶间内的设备、管网的油漆有脱落</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处</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0.2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17.5</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未按计划对系统进行测试</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8"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18</w:t>
            </w:r>
          </w:p>
        </w:tc>
        <w:tc>
          <w:tcPr>
            <w:tcW w:w="5720" w:type="dxa"/>
            <w:gridSpan w:val="3"/>
            <w:tcBorders>
              <w:top w:val="nil"/>
              <w:left w:val="nil"/>
              <w:bottom w:val="single" w:color="auto" w:sz="8" w:space="0"/>
              <w:right w:val="nil"/>
            </w:tcBorders>
            <w:vAlign w:val="bottom"/>
          </w:tcPr>
          <w:p>
            <w:pPr>
              <w:autoSpaceDE w:val="0"/>
              <w:autoSpaceDN w:val="0"/>
              <w:adjustRightInd w:val="0"/>
              <w:spacing w:line="240" w:lineRule="auto"/>
              <w:ind w:left="2354"/>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巡查</w:t>
            </w:r>
          </w:p>
        </w:tc>
        <w:tc>
          <w:tcPr>
            <w:tcW w:w="680" w:type="dxa"/>
            <w:gridSpan w:val="2"/>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18.1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未按合同的要求进行巡查</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18.2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巡查中应发现的问题而未发现</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个</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0.</w:t>
            </w:r>
            <w:r>
              <w:rPr>
                <w:rFonts w:hint="eastAsia" w:ascii="仿宋" w:hAnsi="仿宋" w:eastAsia="仿宋" w:cs="仿宋"/>
                <w:color w:val="auto"/>
                <w:kern w:val="0"/>
                <w:sz w:val="28"/>
                <w:szCs w:val="28"/>
                <w:lang w:val="en-US" w:eastAsia="zh-CN"/>
              </w:rPr>
              <w:t>4</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18.3</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巡查未记录表格</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18.4</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巡查记录未及时上交</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0.5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19</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未按合同要求填写有关记录表格</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20</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未按合同要求递交月度报告、下月计划</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1</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21</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未按合同要求进行培训</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default"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2</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0"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center"/>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22</w:t>
            </w:r>
          </w:p>
        </w:tc>
        <w:tc>
          <w:tcPr>
            <w:tcW w:w="552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因二次装修工程出现故障而据此为由推拖</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left="12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次</w:t>
            </w:r>
          </w:p>
        </w:tc>
        <w:tc>
          <w:tcPr>
            <w:tcW w:w="200" w:type="dxa"/>
            <w:tcBorders>
              <w:top w:val="nil"/>
              <w:left w:val="nil"/>
              <w:bottom w:val="single" w:color="auto" w:sz="8" w:space="0"/>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single" w:color="auto" w:sz="8" w:space="0"/>
              <w:right w:val="single" w:color="auto" w:sz="8" w:space="0"/>
            </w:tcBorders>
            <w:vAlign w:val="bottom"/>
          </w:tcPr>
          <w:p>
            <w:pPr>
              <w:autoSpaceDE w:val="0"/>
              <w:autoSpaceDN w:val="0"/>
              <w:adjustRightInd w:val="0"/>
              <w:spacing w:line="240" w:lineRule="auto"/>
              <w:ind w:right="134"/>
              <w:jc w:val="center"/>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val="en-US" w:eastAsia="zh-CN"/>
              </w:rPr>
              <w:t>5</w:t>
            </w:r>
          </w:p>
        </w:tc>
        <w:tc>
          <w:tcPr>
            <w:tcW w:w="720" w:type="dxa"/>
            <w:gridSpan w:val="3"/>
            <w:tcBorders>
              <w:top w:val="nil"/>
              <w:left w:val="nil"/>
              <w:bottom w:val="single" w:color="auto" w:sz="8" w:space="0"/>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286"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nil"/>
              <w:right w:val="nil"/>
            </w:tcBorders>
            <w:vAlign w:val="bottom"/>
          </w:tcPr>
          <w:p>
            <w:pPr>
              <w:autoSpaceDE w:val="0"/>
              <w:autoSpaceDN w:val="0"/>
              <w:adjustRightInd w:val="0"/>
              <w:spacing w:line="240" w:lineRule="auto"/>
              <w:ind w:left="8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说明：</w:t>
            </w:r>
          </w:p>
        </w:tc>
        <w:tc>
          <w:tcPr>
            <w:tcW w:w="552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9020" w:type="dxa"/>
            <w:gridSpan w:val="13"/>
            <w:tcBorders>
              <w:top w:val="nil"/>
              <w:left w:val="nil"/>
              <w:bottom w:val="nil"/>
              <w:right w:val="single" w:color="auto" w:sz="8" w:space="0"/>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消防设备维护保养服务期限为1+1年。中标一周内双方签订合同，以后每月由</w:t>
            </w:r>
            <w:r>
              <w:rPr>
                <w:rFonts w:hint="eastAsia" w:ascii="仿宋" w:hAnsi="仿宋" w:eastAsia="仿宋" w:cs="仿宋"/>
                <w:color w:val="auto"/>
                <w:kern w:val="0"/>
                <w:sz w:val="28"/>
                <w:szCs w:val="28"/>
                <w:lang w:eastAsia="zh-CN"/>
              </w:rPr>
              <w:t>采购人</w:t>
            </w:r>
            <w:r>
              <w:rPr>
                <w:rFonts w:hint="eastAsia" w:ascii="仿宋" w:hAnsi="仿宋" w:eastAsia="仿宋" w:cs="仿宋"/>
                <w:color w:val="auto"/>
                <w:kern w:val="0"/>
                <w:sz w:val="28"/>
                <w:szCs w:val="28"/>
              </w:rPr>
              <w:t>牵头组成</w:t>
            </w: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9020" w:type="dxa"/>
            <w:gridSpan w:val="1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考核小组对合同条款履行情况结合各处室问卷调查进行考核。</w:t>
            </w: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540" w:type="dxa"/>
            <w:gridSpan w:val="5"/>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考核合格指标包括：</w:t>
            </w:r>
          </w:p>
        </w:tc>
        <w:tc>
          <w:tcPr>
            <w:tcW w:w="6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7"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w:t>
            </w:r>
          </w:p>
        </w:tc>
        <w:tc>
          <w:tcPr>
            <w:tcW w:w="5720" w:type="dxa"/>
            <w:gridSpan w:val="3"/>
            <w:tcBorders>
              <w:top w:val="nil"/>
              <w:left w:val="nil"/>
              <w:bottom w:val="nil"/>
              <w:right w:val="nil"/>
            </w:tcBorders>
            <w:vAlign w:val="bottom"/>
          </w:tcPr>
          <w:p>
            <w:pPr>
              <w:autoSpaceDE w:val="0"/>
              <w:autoSpaceDN w:val="0"/>
              <w:adjustRightInd w:val="0"/>
              <w:spacing w:line="240" w:lineRule="auto"/>
              <w:ind w:left="1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人员配置须与中标合同相符；</w:t>
            </w:r>
          </w:p>
        </w:tc>
        <w:tc>
          <w:tcPr>
            <w:tcW w:w="6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w:t>
            </w:r>
          </w:p>
        </w:tc>
        <w:tc>
          <w:tcPr>
            <w:tcW w:w="5720" w:type="dxa"/>
            <w:gridSpan w:val="3"/>
            <w:tcBorders>
              <w:top w:val="nil"/>
              <w:left w:val="nil"/>
              <w:bottom w:val="nil"/>
              <w:right w:val="nil"/>
            </w:tcBorders>
            <w:vAlign w:val="bottom"/>
          </w:tcPr>
          <w:p>
            <w:pPr>
              <w:autoSpaceDE w:val="0"/>
              <w:autoSpaceDN w:val="0"/>
              <w:adjustRightInd w:val="0"/>
              <w:spacing w:line="240" w:lineRule="auto"/>
              <w:ind w:left="1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各部门投诉率（要求低于10%）；</w:t>
            </w:r>
          </w:p>
        </w:tc>
        <w:tc>
          <w:tcPr>
            <w:tcW w:w="6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36"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w:t>
            </w:r>
          </w:p>
        </w:tc>
        <w:tc>
          <w:tcPr>
            <w:tcW w:w="6600" w:type="dxa"/>
            <w:gridSpan w:val="6"/>
            <w:tcBorders>
              <w:top w:val="nil"/>
              <w:left w:val="nil"/>
              <w:bottom w:val="nil"/>
              <w:right w:val="nil"/>
            </w:tcBorders>
            <w:vAlign w:val="bottom"/>
          </w:tcPr>
          <w:p>
            <w:pPr>
              <w:autoSpaceDE w:val="0"/>
              <w:autoSpaceDN w:val="0"/>
              <w:adjustRightInd w:val="0"/>
              <w:spacing w:line="240" w:lineRule="auto"/>
              <w:ind w:left="1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设备重大安全事故率、治安案件发生率、火灾发生率（要求均为 0）；</w:t>
            </w: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20" w:type="dxa"/>
            <w:gridSpan w:val="2"/>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w:t>
            </w:r>
          </w:p>
        </w:tc>
        <w:tc>
          <w:tcPr>
            <w:tcW w:w="5720" w:type="dxa"/>
            <w:gridSpan w:val="3"/>
            <w:tcBorders>
              <w:top w:val="nil"/>
              <w:left w:val="nil"/>
              <w:bottom w:val="nil"/>
              <w:right w:val="nil"/>
            </w:tcBorders>
            <w:vAlign w:val="bottom"/>
          </w:tcPr>
          <w:p>
            <w:pPr>
              <w:autoSpaceDE w:val="0"/>
              <w:autoSpaceDN w:val="0"/>
              <w:adjustRightInd w:val="0"/>
              <w:spacing w:line="240" w:lineRule="auto"/>
              <w:ind w:left="1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设备完好率、设备急修率（要求为100%）；</w:t>
            </w:r>
          </w:p>
        </w:tc>
        <w:tc>
          <w:tcPr>
            <w:tcW w:w="6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25"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9020" w:type="dxa"/>
            <w:gridSpan w:val="13"/>
            <w:tcBorders>
              <w:top w:val="nil"/>
              <w:left w:val="nil"/>
              <w:bottom w:val="nil"/>
              <w:right w:val="single" w:color="auto" w:sz="8" w:space="0"/>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如满足以上指标综合考核6</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分以上视为考核合格，如不满足以上指标或考核不及格或连续</w:t>
            </w: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540" w:type="dxa"/>
            <w:gridSpan w:val="5"/>
            <w:tcBorders>
              <w:top w:val="nil"/>
              <w:left w:val="nil"/>
              <w:bottom w:val="nil"/>
              <w:right w:val="nil"/>
            </w:tcBorders>
            <w:vAlign w:val="bottom"/>
          </w:tcPr>
          <w:p>
            <w:pPr>
              <w:autoSpaceDE w:val="0"/>
              <w:autoSpaceDN w:val="0"/>
              <w:adjustRightInd w:val="0"/>
              <w:spacing w:line="240" w:lineRule="auto"/>
              <w:ind w:left="8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两季度低于7</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分者，</w:t>
            </w:r>
            <w:r>
              <w:rPr>
                <w:rFonts w:hint="eastAsia" w:ascii="仿宋" w:hAnsi="仿宋" w:eastAsia="仿宋" w:cs="仿宋"/>
                <w:color w:val="auto"/>
                <w:kern w:val="0"/>
                <w:sz w:val="28"/>
                <w:szCs w:val="28"/>
                <w:lang w:eastAsia="zh-CN"/>
              </w:rPr>
              <w:t>采购人</w:t>
            </w:r>
            <w:r>
              <w:rPr>
                <w:rFonts w:hint="eastAsia" w:ascii="仿宋" w:hAnsi="仿宋" w:eastAsia="仿宋" w:cs="仿宋"/>
                <w:color w:val="auto"/>
                <w:kern w:val="0"/>
                <w:sz w:val="28"/>
                <w:szCs w:val="28"/>
              </w:rPr>
              <w:t>有权提前终止合约。</w:t>
            </w:r>
          </w:p>
        </w:tc>
        <w:tc>
          <w:tcPr>
            <w:tcW w:w="6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540" w:type="dxa"/>
            <w:gridSpan w:val="5"/>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取综合考核 100 分为基准分，</w:t>
            </w:r>
          </w:p>
        </w:tc>
        <w:tc>
          <w:tcPr>
            <w:tcW w:w="6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52"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540" w:type="dxa"/>
            <w:gridSpan w:val="5"/>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9</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分以上者，维护保养费</w:t>
            </w:r>
            <w:r>
              <w:rPr>
                <w:rFonts w:hint="eastAsia" w:ascii="仿宋" w:hAnsi="仿宋" w:eastAsia="仿宋" w:cs="仿宋"/>
                <w:color w:val="auto"/>
                <w:kern w:val="0"/>
                <w:sz w:val="28"/>
                <w:szCs w:val="28"/>
                <w:lang w:eastAsia="zh-CN"/>
              </w:rPr>
              <w:t>不</w:t>
            </w:r>
            <w:r>
              <w:rPr>
                <w:rFonts w:hint="eastAsia" w:ascii="仿宋" w:hAnsi="仿宋" w:eastAsia="仿宋" w:cs="仿宋"/>
                <w:color w:val="auto"/>
                <w:kern w:val="0"/>
                <w:sz w:val="28"/>
                <w:szCs w:val="28"/>
              </w:rPr>
              <w:t>扣减；</w:t>
            </w:r>
          </w:p>
        </w:tc>
        <w:tc>
          <w:tcPr>
            <w:tcW w:w="6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6540" w:type="dxa"/>
            <w:gridSpan w:val="5"/>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w w:val="83"/>
                <w:kern w:val="0"/>
                <w:sz w:val="28"/>
                <w:szCs w:val="28"/>
              </w:rPr>
              <w:t></w:t>
            </w:r>
            <w:r>
              <w:rPr>
                <w:rFonts w:hint="eastAsia" w:ascii="仿宋" w:hAnsi="仿宋" w:eastAsia="仿宋" w:cs="仿宋"/>
                <w:color w:val="auto"/>
                <w:kern w:val="0"/>
                <w:sz w:val="28"/>
                <w:szCs w:val="28"/>
              </w:rPr>
              <w:t>8</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-9</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分者，每低1分，维护保养费扣减1.</w:t>
            </w:r>
            <w:r>
              <w:rPr>
                <w:rFonts w:hint="eastAsia" w:ascii="仿宋" w:hAnsi="仿宋" w:eastAsia="仿宋" w:cs="仿宋"/>
                <w:color w:val="auto"/>
                <w:kern w:val="0"/>
                <w:sz w:val="28"/>
                <w:szCs w:val="28"/>
                <w:lang w:val="en-US" w:eastAsia="zh-CN"/>
              </w:rPr>
              <w:t>0</w:t>
            </w:r>
            <w:r>
              <w:rPr>
                <w:rFonts w:hint="eastAsia" w:ascii="仿宋" w:hAnsi="仿宋" w:eastAsia="仿宋" w:cs="仿宋"/>
                <w:color w:val="auto"/>
                <w:kern w:val="0"/>
                <w:sz w:val="28"/>
                <w:szCs w:val="28"/>
              </w:rPr>
              <w:t>%；</w:t>
            </w:r>
          </w:p>
        </w:tc>
        <w:tc>
          <w:tcPr>
            <w:tcW w:w="6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20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420" w:type="dxa"/>
            <w:gridSpan w:val="8"/>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w w:val="90"/>
                <w:kern w:val="0"/>
                <w:sz w:val="28"/>
                <w:szCs w:val="28"/>
              </w:rPr>
              <w:t></w:t>
            </w:r>
            <w:r>
              <w:rPr>
                <w:rFonts w:hint="eastAsia" w:ascii="仿宋" w:hAnsi="仿宋" w:eastAsia="仿宋" w:cs="仿宋"/>
                <w:color w:val="auto"/>
                <w:kern w:val="0"/>
                <w:sz w:val="28"/>
                <w:szCs w:val="28"/>
              </w:rPr>
              <w:t>7</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-8</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分者，每低1分，维护保养费扣减2.0%；</w:t>
            </w: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420" w:type="dxa"/>
            <w:gridSpan w:val="8"/>
            <w:tcBorders>
              <w:top w:val="nil"/>
              <w:left w:val="nil"/>
              <w:bottom w:val="nil"/>
              <w:right w:val="nil"/>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w w:val="93"/>
                <w:kern w:val="0"/>
                <w:sz w:val="28"/>
                <w:szCs w:val="28"/>
              </w:rPr>
              <w:t></w:t>
            </w:r>
            <w:r>
              <w:rPr>
                <w:rFonts w:hint="eastAsia" w:ascii="仿宋" w:hAnsi="仿宋" w:eastAsia="仿宋" w:cs="仿宋"/>
                <w:color w:val="auto"/>
                <w:kern w:val="0"/>
                <w:sz w:val="28"/>
                <w:szCs w:val="28"/>
              </w:rPr>
              <w:t>6</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-7</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分者，每低1分，维护保养费扣减3.0%</w:t>
            </w:r>
          </w:p>
        </w:tc>
        <w:tc>
          <w:tcPr>
            <w:tcW w:w="880" w:type="dxa"/>
            <w:gridSpan w:val="2"/>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720" w:type="dxa"/>
            <w:gridSpan w:val="3"/>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25"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9020" w:type="dxa"/>
            <w:gridSpan w:val="13"/>
            <w:vMerge w:val="restart"/>
            <w:tcBorders>
              <w:top w:val="nil"/>
              <w:left w:val="nil"/>
              <w:right w:val="single" w:color="auto" w:sz="8" w:space="0"/>
            </w:tcBorders>
            <w:vAlign w:val="bottom"/>
          </w:tcPr>
          <w:p>
            <w:pPr>
              <w:autoSpaceDE w:val="0"/>
              <w:autoSpaceDN w:val="0"/>
              <w:adjustRightInd w:val="0"/>
              <w:spacing w:line="240" w:lineRule="auto"/>
              <w:ind w:left="5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（二）维护保养费按</w:t>
            </w:r>
            <w:r>
              <w:rPr>
                <w:rFonts w:hint="eastAsia" w:ascii="仿宋" w:hAnsi="仿宋" w:eastAsia="仿宋" w:cs="仿宋"/>
                <w:color w:val="auto"/>
                <w:kern w:val="0"/>
                <w:sz w:val="28"/>
                <w:szCs w:val="28"/>
                <w:lang w:eastAsia="zh-CN"/>
              </w:rPr>
              <w:t>季度</w:t>
            </w:r>
            <w:r>
              <w:rPr>
                <w:rFonts w:hint="eastAsia" w:ascii="仿宋" w:hAnsi="仿宋" w:eastAsia="仿宋" w:cs="仿宋"/>
                <w:color w:val="auto"/>
                <w:kern w:val="0"/>
                <w:sz w:val="28"/>
                <w:szCs w:val="28"/>
              </w:rPr>
              <w:t>结算，最后二期维护保养费用则在维护期结束及消防设备通过有关检测部门检测合格及移交维护保养单位之日起15个工作日内，</w:t>
            </w:r>
            <w:r>
              <w:rPr>
                <w:rFonts w:hint="eastAsia" w:ascii="仿宋" w:hAnsi="仿宋" w:eastAsia="仿宋" w:cs="仿宋"/>
                <w:color w:val="auto"/>
                <w:kern w:val="0"/>
                <w:sz w:val="28"/>
                <w:szCs w:val="28"/>
                <w:lang w:eastAsia="zh-CN"/>
              </w:rPr>
              <w:t>采购人</w:t>
            </w:r>
            <w:r>
              <w:rPr>
                <w:rFonts w:hint="eastAsia" w:ascii="仿宋" w:hAnsi="仿宋" w:eastAsia="仿宋" w:cs="仿宋"/>
                <w:color w:val="auto"/>
                <w:kern w:val="0"/>
                <w:sz w:val="28"/>
                <w:szCs w:val="28"/>
              </w:rPr>
              <w:t>向中标人办理支付手续。如中标人提供维护保养服务不足一个月时，按日计算维护保养费。</w:t>
            </w: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41"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9020" w:type="dxa"/>
            <w:gridSpan w:val="13"/>
            <w:vMerge w:val="continue"/>
            <w:tcBorders>
              <w:left w:val="nil"/>
              <w:right w:val="single" w:color="auto" w:sz="8" w:space="0"/>
            </w:tcBorders>
            <w:vAlign w:val="bottom"/>
          </w:tcPr>
          <w:p>
            <w:pPr>
              <w:autoSpaceDE w:val="0"/>
              <w:autoSpaceDN w:val="0"/>
              <w:adjustRightInd w:val="0"/>
              <w:spacing w:line="240" w:lineRule="auto"/>
              <w:ind w:left="80"/>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r>
        <w:tblPrEx>
          <w:tblCellMar>
            <w:top w:w="0" w:type="dxa"/>
            <w:left w:w="0" w:type="dxa"/>
            <w:bottom w:w="0" w:type="dxa"/>
            <w:right w:w="0" w:type="dxa"/>
          </w:tblCellMar>
        </w:tblPrEx>
        <w:trPr>
          <w:gridAfter w:val="1"/>
          <w:wAfter w:w="20" w:type="dxa"/>
          <w:trHeight w:val="336" w:hRule="atLeast"/>
        </w:trPr>
        <w:tc>
          <w:tcPr>
            <w:tcW w:w="80" w:type="dxa"/>
            <w:tcBorders>
              <w:top w:val="nil"/>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9020" w:type="dxa"/>
            <w:gridSpan w:val="13"/>
            <w:vMerge w:val="continue"/>
            <w:tcBorders>
              <w:left w:val="nil"/>
              <w:bottom w:val="nil"/>
              <w:right w:val="single" w:color="auto" w:sz="8" w:space="0"/>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c>
          <w:tcPr>
            <w:tcW w:w="40" w:type="dxa"/>
            <w:tcBorders>
              <w:top w:val="nil"/>
              <w:left w:val="nil"/>
              <w:bottom w:val="nil"/>
              <w:right w:val="nil"/>
            </w:tcBorders>
            <w:vAlign w:val="bottom"/>
          </w:tcPr>
          <w:p>
            <w:pPr>
              <w:autoSpaceDE w:val="0"/>
              <w:autoSpaceDN w:val="0"/>
              <w:adjustRightInd w:val="0"/>
              <w:spacing w:line="240" w:lineRule="auto"/>
              <w:jc w:val="left"/>
              <w:rPr>
                <w:rFonts w:hint="eastAsia" w:ascii="仿宋" w:hAnsi="仿宋" w:eastAsia="仿宋" w:cs="仿宋"/>
                <w:color w:val="auto"/>
                <w:kern w:val="0"/>
                <w:sz w:val="28"/>
                <w:szCs w:val="28"/>
              </w:rPr>
            </w:pPr>
          </w:p>
        </w:tc>
      </w:tr>
    </w:tbl>
    <w:p>
      <w:pPr>
        <w:rPr>
          <w:rFonts w:hint="eastAsia" w:ascii="仿宋" w:hAnsi="仿宋" w:eastAsia="仿宋" w:cs="仿宋"/>
          <w:b w:val="0"/>
          <w:bCs w:val="0"/>
          <w:sz w:val="28"/>
          <w:szCs w:val="36"/>
          <w:lang w:val="en-US" w:eastAsia="zh-CN"/>
        </w:rPr>
      </w:pP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ab/>
      </w:r>
      <w:r>
        <w:rPr>
          <w:rFonts w:hint="eastAsia" w:ascii="仿宋" w:hAnsi="仿宋" w:eastAsia="仿宋" w:cs="仿宋"/>
          <w:b w:val="0"/>
          <w:bCs w:val="0"/>
          <w:sz w:val="28"/>
          <w:szCs w:val="36"/>
          <w:lang w:val="en-US" w:eastAsia="zh-CN"/>
        </w:rPr>
        <w:tab/>
      </w:r>
      <w:r>
        <w:rPr>
          <w:rFonts w:hint="eastAsia" w:ascii="仿宋" w:hAnsi="仿宋" w:eastAsia="仿宋" w:cs="仿宋"/>
          <w:b w:val="0"/>
          <w:bCs w:val="0"/>
          <w:sz w:val="28"/>
          <w:szCs w:val="36"/>
          <w:lang w:val="en-US" w:eastAsia="zh-CN"/>
        </w:rPr>
        <w:tab/>
      </w:r>
      <w:r>
        <w:rPr>
          <w:rFonts w:hint="eastAsia" w:ascii="仿宋" w:hAnsi="仿宋" w:eastAsia="仿宋" w:cs="仿宋"/>
          <w:b w:val="0"/>
          <w:bCs w:val="0"/>
          <w:sz w:val="28"/>
          <w:szCs w:val="36"/>
          <w:lang w:val="en-US" w:eastAsia="zh-CN"/>
        </w:rPr>
        <w:tab/>
      </w:r>
      <w:r>
        <w:rPr>
          <w:rFonts w:hint="eastAsia" w:ascii="仿宋" w:hAnsi="仿宋" w:eastAsia="仿宋" w:cs="仿宋"/>
          <w:b w:val="0"/>
          <w:bCs w:val="0"/>
          <w:sz w:val="28"/>
          <w:szCs w:val="36"/>
          <w:lang w:val="en-US" w:eastAsia="zh-CN"/>
        </w:rPr>
        <w:tab/>
      </w:r>
      <w:r>
        <w:rPr>
          <w:rFonts w:hint="eastAsia" w:ascii="仿宋" w:hAnsi="仿宋" w:eastAsia="仿宋" w:cs="仿宋"/>
          <w:b w:val="0"/>
          <w:bCs w:val="0"/>
          <w:sz w:val="28"/>
          <w:szCs w:val="36"/>
          <w:lang w:val="en-US" w:eastAsia="zh-CN"/>
        </w:rPr>
        <w:tab/>
      </w:r>
      <w:r>
        <w:rPr>
          <w:rFonts w:hint="eastAsia" w:ascii="仿宋" w:hAnsi="仿宋" w:eastAsia="仿宋" w:cs="仿宋"/>
          <w:b w:val="0"/>
          <w:bCs w:val="0"/>
          <w:sz w:val="28"/>
          <w:szCs w:val="36"/>
          <w:lang w:val="en-US" w:eastAsia="zh-CN"/>
        </w:rPr>
        <w:tab/>
      </w:r>
      <w:r>
        <w:rPr>
          <w:rFonts w:hint="eastAsia" w:ascii="仿宋" w:hAnsi="仿宋" w:eastAsia="仿宋" w:cs="仿宋"/>
          <w:b w:val="0"/>
          <w:bCs w:val="0"/>
          <w:sz w:val="28"/>
          <w:szCs w:val="36"/>
          <w:lang w:val="en-US" w:eastAsia="zh-CN"/>
        </w:rPr>
        <w:tab/>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ab/>
      </w:r>
    </w:p>
    <w:p>
      <w:pPr>
        <w:rPr>
          <w:rFonts w:hint="eastAsia" w:ascii="仿宋" w:hAnsi="仿宋" w:eastAsia="仿宋" w:cs="仿宋"/>
          <w:b w:val="0"/>
          <w:bCs w:val="0"/>
          <w:sz w:val="28"/>
          <w:szCs w:val="36"/>
          <w:lang w:val="en-US" w:eastAsia="zh-CN"/>
        </w:rPr>
      </w:pP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（七）消防系统维护保养质量的标准：</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维修保养工作要满足、达到及符合的规程、规范和规则包括但不限于：</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1、《高层民用建筑设计防火规范》最新版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2、《建筑设计防火规范》最新版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3、《火灾自动报警系统设计规范》最新版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4、《火灾自动报警系统施工及验收规范》最新版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5、《自动喷水灭火系统设计规范》最新版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6、《自动喷水灭火系统施工及验收规范》最新版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7、《气体灭火系统施工及验收规范》最新版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8、《建筑消防设施的维护管理》最新版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9、《建筑消防设施检测技术规程》最新版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10、《建筑工程消防监督管理规定》最新版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11、《社会消防技术服务管理规定》最新版</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12、国家、省、市消防法律、法规及其它有关消防管理规定和招标文件约定。</w:t>
      </w:r>
    </w:p>
    <w:p>
      <w:pPr>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（八）投标报价：</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消防系统维护保养的服务费用，服务费用采取含税总价包干的形式。包括：人工费、员工社保费（包括养老保险、失业保险、工伤保险、医疗保险等）、行政费、工具购置及折旧费、机械费、运输费、管理费、利润、税金等全部所有一切费用；合同期内不得以任何理由（包括并不限于市场价格涨落及汇率、税率变动、政府政策及收纳问题）要求提高服务费的标准。</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a)零星维修费用报价说明：每次零星维修更换设备设施进行报价，报价材料费用低于300元，不再额外支付人工费用，全面实行包工包料；对于较大消防设备维修及更换，或者邀请厂家人员现场处理，可以正常报价，含技术人员人工费用。</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b)零星维修费用支付：按季度支付零星工程费用，且每次维修更换设备设施进行报价，用户方签字确认通过后，进行施工，零星维修项目完成后，主动报备用户方组织验收，整理材料（报价单、验收单）报审计科审核，支付零星维修费用按照审计后费用支付。</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c)维保费用的支付：按季度支付服务费。费用支付前，中标人要按规定将上月的维保报告及有关的表格交到医院的主管部门；医院的主管部门对中标人的维保工作进行定期或不定期的抽查考核，对发现的问题根据《消防系统维保工作的扣分标准》进行处罚。其它情况，按合同约定的费用中扣除罚金来支付上季度的服务费。</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 投标报价要求：</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1.以上报价为总价包干的形式，含一切税费。以人民币为报价和结算货币。确定中标供应商后，中标供应商不得以任何理由追加服务费用或其他费用。</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2.为顺利进行评标工作，所有数据以签字盖章的书面报价表为准。开出的所有发票都须与中标供应商的名称一致。</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3.若报价小写与大写存在差异，以大写为准。</w:t>
      </w:r>
    </w:p>
    <w:p>
      <w:pPr>
        <w:ind w:firstLine="560" w:firstLineChars="20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4.维修过程中所涉及到的零配件，如需更换配件，经甲乙双方同意后，按市场价格收取。</w:t>
      </w:r>
    </w:p>
    <w:p>
      <w:pPr>
        <w:ind w:left="559" w:leftChars="266" w:firstLine="0" w:firstLineChars="0"/>
        <w:rPr>
          <w:rFonts w:hint="eastAsia" w:ascii="仿宋" w:hAnsi="仿宋" w:eastAsia="仿宋" w:cs="仿宋"/>
          <w:b w:val="0"/>
          <w:bCs w:val="0"/>
          <w:sz w:val="28"/>
          <w:szCs w:val="36"/>
          <w:lang w:val="en-US" w:eastAsia="zh-CN"/>
        </w:rPr>
      </w:pPr>
      <w:r>
        <w:rPr>
          <w:rFonts w:hint="eastAsia" w:ascii="仿宋" w:hAnsi="仿宋" w:eastAsia="仿宋" w:cs="仿宋"/>
          <w:b w:val="0"/>
          <w:bCs w:val="0"/>
          <w:sz w:val="28"/>
          <w:szCs w:val="36"/>
          <w:lang w:val="en-US" w:eastAsia="zh-CN"/>
        </w:rPr>
        <w:t>5.按照用户需求书报项目两年价格，（服务年限采用1+1，两年）。6.年度设备、设施维保报告一份，上报消防部门备案。</w:t>
      </w:r>
    </w:p>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YWFiODg4Y2Y1OWYxYmJmMjc4OTUzZDFlZThkZjYifQ=="/>
  </w:docVars>
  <w:rsids>
    <w:rsidRoot w:val="2D443D0B"/>
    <w:rsid w:val="08DB6A0C"/>
    <w:rsid w:val="157D50D3"/>
    <w:rsid w:val="17DF606D"/>
    <w:rsid w:val="22D95913"/>
    <w:rsid w:val="2AD55FB6"/>
    <w:rsid w:val="2D443D0B"/>
    <w:rsid w:val="2EBA2A9C"/>
    <w:rsid w:val="4013200C"/>
    <w:rsid w:val="45322F35"/>
    <w:rsid w:val="4AC811BA"/>
    <w:rsid w:val="4B9009B5"/>
    <w:rsid w:val="4BC30D8B"/>
    <w:rsid w:val="4F533D17"/>
    <w:rsid w:val="578515EA"/>
    <w:rsid w:val="5AD769F7"/>
    <w:rsid w:val="5C4C089F"/>
    <w:rsid w:val="6D5238C5"/>
    <w:rsid w:val="74713CED"/>
    <w:rsid w:val="781E5814"/>
    <w:rsid w:val="798F47A6"/>
    <w:rsid w:val="7A90229D"/>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2023-11-20T09:19:00Z</dcterms:created>
  <dc:creator>魯曦曦</dc:creator>
  <cp:lastModifiedBy>suky</cp:lastModifiedBy>
  <cp:lastPrinted>2023-12-07T07:15:48Z</cp:lastPrinted>
  <dcterms:modified xsi:type="dcterms:W3CDTF">2023-12-07T07:19:01Z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85A4CCF466C841DA9F11F12F490E3ED2_11</vt:lpwstr>
  </property>
</Properties>
</file>